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05"/>
        </w:tabs>
        <w:spacing w:line="360" w:lineRule="auto"/>
        <w:jc w:val="center"/>
        <w:rPr>
          <w:rFonts w:ascii="宋体" w:hAnsi="宋体" w:cs="宋体"/>
          <w:b/>
          <w:color w:val="auto"/>
          <w:sz w:val="84"/>
          <w:szCs w:val="84"/>
          <w:highlight w:val="none"/>
        </w:rPr>
      </w:pPr>
    </w:p>
    <w:p>
      <w:pPr>
        <w:tabs>
          <w:tab w:val="left" w:pos="5205"/>
        </w:tabs>
        <w:spacing w:line="360" w:lineRule="auto"/>
        <w:jc w:val="center"/>
        <w:rPr>
          <w:rFonts w:ascii="宋体" w:hAnsi="宋体" w:cs="宋体"/>
          <w:b/>
          <w:color w:val="auto"/>
          <w:spacing w:val="26"/>
          <w:sz w:val="84"/>
          <w:szCs w:val="84"/>
          <w:highlight w:val="none"/>
        </w:rPr>
      </w:pPr>
      <w:r>
        <w:rPr>
          <w:rFonts w:hint="eastAsia" w:ascii="宋体" w:hAnsi="宋体" w:cs="宋体"/>
          <w:b/>
          <w:color w:val="auto"/>
          <w:sz w:val="84"/>
          <w:szCs w:val="84"/>
          <w:highlight w:val="none"/>
        </w:rPr>
        <w:t>温州市政府(分散)采购</w:t>
      </w:r>
    </w:p>
    <w:p>
      <w:pPr>
        <w:spacing w:line="400" w:lineRule="exact"/>
        <w:ind w:firstLine="1885" w:firstLineChars="235"/>
        <w:rPr>
          <w:rFonts w:ascii="宋体" w:hAnsi="宋体" w:cs="宋体"/>
          <w:b/>
          <w:color w:val="auto"/>
          <w:spacing w:val="140"/>
          <w:sz w:val="52"/>
          <w:szCs w:val="52"/>
          <w:highlight w:val="none"/>
        </w:rPr>
      </w:pPr>
    </w:p>
    <w:p>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pPr>
        <w:widowControl/>
        <w:spacing w:line="360" w:lineRule="auto"/>
        <w:ind w:right="-2"/>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pPr>
        <w:pStyle w:val="12"/>
        <w:rPr>
          <w:rFonts w:ascii="宋体" w:hAnsi="宋体" w:cs="宋体"/>
          <w:color w:val="auto"/>
          <w:highlight w:val="none"/>
        </w:rPr>
      </w:pPr>
    </w:p>
    <w:p>
      <w:pPr>
        <w:spacing w:line="400" w:lineRule="exact"/>
        <w:ind w:firstLine="1140" w:firstLineChars="300"/>
        <w:rPr>
          <w:rFonts w:ascii="宋体" w:hAnsi="宋体" w:cs="宋体"/>
          <w:color w:val="auto"/>
          <w:spacing w:val="40"/>
          <w:sz w:val="30"/>
          <w:highlight w:val="none"/>
        </w:rPr>
      </w:pPr>
    </w:p>
    <w:p>
      <w:pPr>
        <w:pStyle w:val="2"/>
        <w:rPr>
          <w:rFonts w:ascii="宋体" w:hAnsi="宋体" w:cs="宋体"/>
          <w:color w:val="auto"/>
          <w:spacing w:val="40"/>
          <w:sz w:val="30"/>
          <w:highlight w:val="none"/>
        </w:rPr>
      </w:pPr>
    </w:p>
    <w:p/>
    <w:p>
      <w:pPr>
        <w:pStyle w:val="2"/>
        <w:rPr>
          <w:color w:val="auto"/>
          <w:highlight w:val="none"/>
        </w:rPr>
      </w:pPr>
    </w:p>
    <w:p>
      <w:pPr>
        <w:spacing w:line="360" w:lineRule="auto"/>
        <w:ind w:firstLine="2100" w:firstLineChars="700"/>
        <w:rPr>
          <w:rFonts w:hint="eastAsia" w:ascii="宋体" w:hAnsi="宋体" w:eastAsia="宋体" w:cs="宋体"/>
          <w:color w:val="auto"/>
          <w:sz w:val="30"/>
          <w:highlight w:val="none"/>
          <w:lang w:eastAsia="zh-CN"/>
        </w:rPr>
      </w:pPr>
      <w:r>
        <w:rPr>
          <w:rFonts w:hint="eastAsia" w:ascii="宋体" w:hAnsi="宋体" w:cs="宋体"/>
          <w:color w:val="auto"/>
          <w:sz w:val="30"/>
          <w:highlight w:val="none"/>
        </w:rPr>
        <w:t>项目编号：</w:t>
      </w:r>
      <w:r>
        <w:rPr>
          <w:rFonts w:hint="eastAsia" w:ascii="宋体" w:hAnsi="宋体" w:cs="宋体"/>
          <w:color w:val="auto"/>
          <w:sz w:val="30"/>
          <w:highlight w:val="none"/>
          <w:lang w:eastAsia="zh-CN"/>
        </w:rPr>
        <w:t>ZJYC2022145(GK)</w:t>
      </w:r>
    </w:p>
    <w:p>
      <w:pPr>
        <w:spacing w:line="360" w:lineRule="auto"/>
        <w:ind w:left="3600" w:leftChars="1000" w:hanging="1500" w:hangingChars="500"/>
        <w:rPr>
          <w:rFonts w:ascii="宋体" w:hAnsi="宋体" w:cs="宋体"/>
          <w:color w:val="auto"/>
          <w:sz w:val="30"/>
          <w:highlight w:val="none"/>
        </w:rPr>
      </w:pPr>
      <w:r>
        <w:rPr>
          <w:rFonts w:hint="eastAsia" w:ascii="宋体" w:hAnsi="宋体" w:cs="宋体"/>
          <w:color w:val="auto"/>
          <w:sz w:val="30"/>
          <w:highlight w:val="none"/>
        </w:rPr>
        <w:t>招标项目：温州理工学院滨海校区多媒体教室建设（二期）</w:t>
      </w:r>
    </w:p>
    <w:p>
      <w:pPr>
        <w:pStyle w:val="25"/>
        <w:spacing w:before="0" w:beforeAutospacing="0" w:after="0" w:afterAutospacing="0" w:line="360" w:lineRule="auto"/>
        <w:ind w:firstLine="2100" w:firstLineChars="700"/>
        <w:jc w:val="both"/>
        <w:rPr>
          <w:color w:val="auto"/>
          <w:sz w:val="22"/>
          <w:highlight w:val="none"/>
        </w:rPr>
      </w:pPr>
      <w:r>
        <w:rPr>
          <w:rFonts w:hint="eastAsia"/>
          <w:color w:val="auto"/>
          <w:sz w:val="30"/>
          <w:highlight w:val="none"/>
        </w:rPr>
        <w:t>招标方式：公 开 招 标</w:t>
      </w:r>
    </w:p>
    <w:p>
      <w:pPr>
        <w:pStyle w:val="12"/>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rPr>
          <w:rFonts w:ascii="宋体" w:hAnsi="宋体" w:cs="宋体"/>
          <w:color w:val="auto"/>
          <w:highlight w:val="none"/>
        </w:rPr>
      </w:pPr>
    </w:p>
    <w:p>
      <w:pPr>
        <w:pStyle w:val="2"/>
      </w:pPr>
    </w:p>
    <w:p>
      <w:pPr>
        <w:pStyle w:val="2"/>
      </w:pPr>
    </w:p>
    <w:p>
      <w:pPr>
        <w:pStyle w:val="2"/>
        <w:rPr>
          <w:color w:val="auto"/>
          <w:highlight w:val="none"/>
        </w:rPr>
      </w:pPr>
    </w:p>
    <w:p>
      <w:pPr>
        <w:spacing w:line="360" w:lineRule="auto"/>
        <w:jc w:val="center"/>
        <w:rPr>
          <w:rFonts w:ascii="宋体" w:hAnsi="宋体" w:cs="宋体"/>
          <w:color w:val="auto"/>
          <w:kern w:val="0"/>
          <w:sz w:val="30"/>
          <w:highlight w:val="none"/>
        </w:rPr>
      </w:pPr>
      <w:r>
        <w:rPr>
          <w:rFonts w:hint="eastAsia" w:ascii="宋体" w:hAnsi="宋体" w:cs="宋体"/>
          <w:color w:val="auto"/>
          <w:kern w:val="0"/>
          <w:sz w:val="30"/>
          <w:highlight w:val="none"/>
        </w:rPr>
        <w:t>采购人：温州理工学院</w:t>
      </w:r>
    </w:p>
    <w:p>
      <w:pPr>
        <w:spacing w:line="360" w:lineRule="auto"/>
        <w:jc w:val="center"/>
        <w:rPr>
          <w:rFonts w:ascii="宋体" w:hAnsi="宋体" w:cs="宋体"/>
          <w:color w:val="auto"/>
          <w:spacing w:val="40"/>
          <w:sz w:val="24"/>
          <w:szCs w:val="24"/>
          <w:highlight w:val="none"/>
        </w:rPr>
      </w:pPr>
      <w:r>
        <w:rPr>
          <w:rFonts w:hint="eastAsia" w:ascii="宋体" w:hAnsi="宋体" w:cs="宋体"/>
          <w:color w:val="auto"/>
          <w:kern w:val="0"/>
          <w:sz w:val="30"/>
          <w:highlight w:val="none"/>
        </w:rPr>
        <w:t>采购代理机构：浙江乐诚工程咨询有限公司</w:t>
      </w:r>
    </w:p>
    <w:p>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二0二二年</w:t>
      </w:r>
      <w:r>
        <w:rPr>
          <w:rFonts w:hint="eastAsia" w:ascii="宋体" w:hAnsi="宋体" w:cs="宋体"/>
          <w:color w:val="auto"/>
          <w:spacing w:val="40"/>
          <w:sz w:val="28"/>
          <w:highlight w:val="none"/>
          <w:lang w:eastAsia="zh-CN"/>
        </w:rPr>
        <w:t>七</w:t>
      </w:r>
      <w:r>
        <w:rPr>
          <w:rFonts w:hint="eastAsia" w:ascii="宋体" w:hAnsi="宋体" w:cs="宋体"/>
          <w:bCs/>
          <w:color w:val="auto"/>
          <w:sz w:val="30"/>
          <w:szCs w:val="30"/>
          <w:highlight w:val="none"/>
        </w:rPr>
        <w:t>月</w:t>
      </w:r>
    </w:p>
    <w:p>
      <w:pPr>
        <w:pStyle w:val="2"/>
        <w:rPr>
          <w:color w:val="auto"/>
          <w:highlight w:val="none"/>
        </w:rPr>
      </w:pPr>
    </w:p>
    <w:p>
      <w:pPr>
        <w:rPr>
          <w:color w:val="auto"/>
          <w:highlight w:val="none"/>
        </w:rPr>
      </w:pPr>
    </w:p>
    <w:p>
      <w:pPr>
        <w:pStyle w:val="2"/>
        <w:rPr>
          <w:color w:val="auto"/>
          <w:highlight w:val="none"/>
        </w:rPr>
      </w:pPr>
    </w:p>
    <w:p/>
    <w:p>
      <w:pPr>
        <w:pStyle w:val="2"/>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spacing w:line="400" w:lineRule="exact"/>
        <w:rPr>
          <w:rFonts w:ascii="宋体" w:hAnsi="宋体" w:cs="宋体"/>
          <w:color w:val="auto"/>
          <w:highlight w:val="none"/>
        </w:rPr>
      </w:pPr>
    </w:p>
    <w:p>
      <w:pPr>
        <w:snapToGrid w:val="0"/>
        <w:spacing w:line="360" w:lineRule="auto"/>
        <w:rPr>
          <w:rFonts w:ascii="宋体" w:hAnsi="宋体" w:cs="宋体"/>
          <w:color w:val="auto"/>
          <w:sz w:val="22"/>
          <w:highlight w:val="none"/>
        </w:rPr>
      </w:pPr>
      <w:r>
        <w:rPr>
          <w:rFonts w:hint="eastAsia" w:ascii="宋体" w:hAnsi="宋体" w:cs="宋体"/>
          <w:color w:val="auto"/>
          <w:sz w:val="22"/>
          <w:highlight w:val="none"/>
        </w:rPr>
        <w:t>第一部分  投标邀请书           ……………………………………………………………………3</w:t>
      </w:r>
    </w:p>
    <w:p>
      <w:pPr>
        <w:spacing w:line="360" w:lineRule="auto"/>
        <w:ind w:left="1100" w:hanging="1100" w:hangingChars="500"/>
        <w:rPr>
          <w:rFonts w:ascii="宋体" w:hAnsi="宋体" w:cs="宋体"/>
          <w:color w:val="auto"/>
          <w:sz w:val="22"/>
          <w:highlight w:val="none"/>
        </w:rPr>
      </w:pPr>
      <w:r>
        <w:rPr>
          <w:rFonts w:hint="eastAsia" w:ascii="宋体" w:hAnsi="宋体" w:cs="宋体"/>
          <w:color w:val="auto"/>
          <w:sz w:val="22"/>
          <w:highlight w:val="none"/>
        </w:rPr>
        <w:t>第二部分  投标人须知           ……………………………………………………………………6</w:t>
      </w:r>
    </w:p>
    <w:p>
      <w:pPr>
        <w:spacing w:line="360" w:lineRule="auto"/>
        <w:ind w:left="1100" w:hanging="1100" w:hangingChars="500"/>
        <w:rPr>
          <w:rFonts w:ascii="宋体" w:hAnsi="宋体" w:cs="宋体"/>
          <w:color w:val="auto"/>
          <w:sz w:val="22"/>
          <w:highlight w:val="none"/>
        </w:rPr>
      </w:pPr>
      <w:r>
        <w:rPr>
          <w:rFonts w:hint="eastAsia" w:ascii="宋体" w:hAnsi="宋体" w:cs="宋体"/>
          <w:color w:val="auto"/>
          <w:sz w:val="22"/>
          <w:highlight w:val="none"/>
        </w:rPr>
        <w:t xml:space="preserve">          投标人须知前附表     ……………………………………………………………………6</w:t>
      </w:r>
    </w:p>
    <w:p>
      <w:pPr>
        <w:spacing w:line="360" w:lineRule="auto"/>
        <w:ind w:firstLine="1100" w:firstLineChars="500"/>
        <w:rPr>
          <w:rFonts w:ascii="宋体" w:hAnsi="宋体" w:cs="宋体"/>
          <w:color w:val="auto"/>
          <w:sz w:val="22"/>
          <w:highlight w:val="none"/>
        </w:rPr>
      </w:pPr>
      <w:r>
        <w:rPr>
          <w:rFonts w:hint="eastAsia" w:ascii="宋体" w:hAnsi="宋体" w:cs="宋体"/>
          <w:color w:val="auto"/>
          <w:sz w:val="22"/>
          <w:highlight w:val="none"/>
        </w:rPr>
        <w:t>一.说 明             ……………………………………………………………………10</w:t>
      </w:r>
    </w:p>
    <w:p>
      <w:pPr>
        <w:spacing w:line="360" w:lineRule="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 xml:space="preserve">          二.招标文件          ……………………………………………………………………1</w:t>
      </w:r>
      <w:r>
        <w:rPr>
          <w:rFonts w:hint="eastAsia" w:ascii="宋体" w:hAnsi="宋体" w:cs="宋体"/>
          <w:color w:val="auto"/>
          <w:sz w:val="22"/>
          <w:highlight w:val="none"/>
          <w:lang w:val="en-US" w:eastAsia="zh-CN"/>
        </w:rPr>
        <w:t>2</w:t>
      </w:r>
    </w:p>
    <w:p>
      <w:pPr>
        <w:spacing w:line="360" w:lineRule="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 xml:space="preserve">          三.投标文件的编制    ……………………………………………………………………1</w:t>
      </w:r>
      <w:r>
        <w:rPr>
          <w:rFonts w:hint="eastAsia" w:ascii="宋体" w:hAnsi="宋体" w:cs="宋体"/>
          <w:color w:val="auto"/>
          <w:sz w:val="22"/>
          <w:highlight w:val="none"/>
          <w:lang w:val="en-US" w:eastAsia="zh-CN"/>
        </w:rPr>
        <w:t>3</w:t>
      </w:r>
    </w:p>
    <w:p>
      <w:pPr>
        <w:spacing w:line="360" w:lineRule="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 xml:space="preserve">          四.投标文件的递交    ……………………………………………………………………1</w:t>
      </w:r>
      <w:r>
        <w:rPr>
          <w:rFonts w:hint="eastAsia" w:ascii="宋体" w:hAnsi="宋体" w:cs="宋体"/>
          <w:color w:val="auto"/>
          <w:sz w:val="22"/>
          <w:highlight w:val="none"/>
          <w:lang w:val="en-US" w:eastAsia="zh-CN"/>
        </w:rPr>
        <w:t>6</w:t>
      </w:r>
    </w:p>
    <w:p>
      <w:pPr>
        <w:spacing w:line="360" w:lineRule="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 xml:space="preserve">          五.开标和评标        ……………………………………………………………………1</w:t>
      </w:r>
      <w:r>
        <w:rPr>
          <w:rFonts w:hint="eastAsia" w:ascii="宋体" w:hAnsi="宋体" w:cs="宋体"/>
          <w:color w:val="auto"/>
          <w:sz w:val="22"/>
          <w:highlight w:val="none"/>
          <w:lang w:val="en-US" w:eastAsia="zh-CN"/>
        </w:rPr>
        <w:t>6</w:t>
      </w:r>
    </w:p>
    <w:p>
      <w:pPr>
        <w:spacing w:line="360" w:lineRule="auto"/>
        <w:jc w:val="lef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 xml:space="preserve">          六.授予合同          ……………………………………………………………………</w:t>
      </w:r>
      <w:r>
        <w:rPr>
          <w:rFonts w:hint="eastAsia" w:ascii="宋体" w:hAnsi="宋体" w:cs="宋体"/>
          <w:color w:val="auto"/>
          <w:sz w:val="22"/>
          <w:highlight w:val="none"/>
          <w:lang w:val="en-US" w:eastAsia="zh-CN"/>
        </w:rPr>
        <w:t>21</w:t>
      </w:r>
    </w:p>
    <w:p>
      <w:pPr>
        <w:spacing w:line="360" w:lineRule="auto"/>
        <w:ind w:firstLine="1100" w:firstLineChars="500"/>
        <w:jc w:val="left"/>
        <w:rPr>
          <w:rFonts w:hint="eastAsia" w:ascii="宋体" w:hAnsi="宋体" w:eastAsia="宋体" w:cs="宋体"/>
          <w:color w:val="auto"/>
          <w:sz w:val="22"/>
          <w:highlight w:val="none"/>
          <w:lang w:eastAsia="zh-CN"/>
        </w:rPr>
      </w:pPr>
      <w:r>
        <w:rPr>
          <w:rFonts w:hint="eastAsia" w:ascii="宋体" w:hAnsi="宋体" w:cs="宋体"/>
          <w:color w:val="auto"/>
          <w:sz w:val="22"/>
          <w:highlight w:val="none"/>
        </w:rPr>
        <w:t>七.可中止电子交易活动的情形……………………………………………………………2</w:t>
      </w:r>
      <w:r>
        <w:rPr>
          <w:rFonts w:hint="eastAsia" w:ascii="宋体" w:hAnsi="宋体" w:cs="宋体"/>
          <w:color w:val="auto"/>
          <w:sz w:val="22"/>
          <w:highlight w:val="none"/>
          <w:lang w:val="en-US" w:eastAsia="zh-CN"/>
        </w:rPr>
        <w:t>1</w:t>
      </w:r>
    </w:p>
    <w:p>
      <w:pPr>
        <w:spacing w:line="360" w:lineRule="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第三部分  拟签订的合同文本     ……………………………………………………………………2</w:t>
      </w:r>
      <w:r>
        <w:rPr>
          <w:rFonts w:hint="eastAsia" w:ascii="宋体" w:hAnsi="宋体" w:cs="宋体"/>
          <w:color w:val="auto"/>
          <w:sz w:val="22"/>
          <w:highlight w:val="none"/>
          <w:lang w:val="en-US" w:eastAsia="zh-CN"/>
        </w:rPr>
        <w:t>2</w:t>
      </w:r>
    </w:p>
    <w:p>
      <w:pPr>
        <w:spacing w:line="360" w:lineRule="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第四部分  附件                 ……………………………………………………………………2</w:t>
      </w:r>
      <w:r>
        <w:rPr>
          <w:rFonts w:hint="eastAsia" w:ascii="宋体" w:hAnsi="宋体" w:cs="宋体"/>
          <w:color w:val="auto"/>
          <w:sz w:val="22"/>
          <w:highlight w:val="none"/>
          <w:lang w:val="en-US" w:eastAsia="zh-CN"/>
        </w:rPr>
        <w:t>6</w:t>
      </w:r>
    </w:p>
    <w:p>
      <w:pPr>
        <w:spacing w:line="360" w:lineRule="auto"/>
        <w:rPr>
          <w:rFonts w:hint="eastAsia" w:ascii="宋体" w:hAnsi="宋体" w:eastAsia="宋体" w:cs="宋体"/>
          <w:color w:val="auto"/>
          <w:sz w:val="22"/>
          <w:highlight w:val="none"/>
          <w:lang w:eastAsia="zh-CN"/>
        </w:rPr>
      </w:pPr>
      <w:r>
        <w:rPr>
          <w:rFonts w:hint="eastAsia" w:ascii="宋体" w:hAnsi="宋体" w:cs="宋体"/>
          <w:color w:val="auto"/>
          <w:sz w:val="22"/>
          <w:highlight w:val="none"/>
        </w:rPr>
        <w:t>第五部分  采购需求             ……………………………………………………………………4</w:t>
      </w:r>
      <w:r>
        <w:rPr>
          <w:rFonts w:hint="eastAsia" w:ascii="宋体" w:hAnsi="宋体" w:cs="宋体"/>
          <w:color w:val="auto"/>
          <w:sz w:val="22"/>
          <w:highlight w:val="none"/>
          <w:lang w:val="en-US" w:eastAsia="zh-CN"/>
        </w:rPr>
        <w:t>8</w:t>
      </w:r>
    </w:p>
    <w:p>
      <w:pPr>
        <w:spacing w:line="360" w:lineRule="auto"/>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第六部分  评标原则及方法       ……………………………………………………………………</w:t>
      </w:r>
      <w:r>
        <w:rPr>
          <w:rFonts w:hint="eastAsia" w:ascii="宋体" w:hAnsi="宋体" w:cs="宋体"/>
          <w:color w:val="auto"/>
          <w:sz w:val="22"/>
          <w:highlight w:val="none"/>
          <w:lang w:val="en-US" w:eastAsia="zh-CN"/>
        </w:rPr>
        <w:t>62</w:t>
      </w:r>
    </w:p>
    <w:p>
      <w:pPr>
        <w:spacing w:line="360" w:lineRule="auto"/>
        <w:rPr>
          <w:rFonts w:ascii="宋体" w:hAnsi="宋体" w:cs="宋体"/>
          <w:b/>
          <w:color w:val="auto"/>
          <w:sz w:val="22"/>
          <w:highlight w:val="none"/>
        </w:rPr>
      </w:pPr>
    </w:p>
    <w:p>
      <w:pPr>
        <w:spacing w:line="360" w:lineRule="auto"/>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color w:val="auto"/>
          <w:sz w:val="22"/>
          <w:highlight w:val="none"/>
        </w:rPr>
      </w:pPr>
    </w:p>
    <w:p>
      <w:pPr>
        <w:spacing w:line="400" w:lineRule="exact"/>
        <w:rPr>
          <w:rFonts w:ascii="宋体" w:hAnsi="宋体" w:cs="宋体"/>
          <w:b/>
          <w:color w:val="auto"/>
          <w:sz w:val="32"/>
          <w:highlight w:val="none"/>
        </w:rPr>
      </w:pPr>
    </w:p>
    <w:p>
      <w:pPr>
        <w:spacing w:line="400" w:lineRule="exact"/>
        <w:rPr>
          <w:rFonts w:ascii="宋体" w:hAnsi="宋体" w:cs="宋体"/>
          <w:b/>
          <w:color w:val="auto"/>
          <w:sz w:val="32"/>
          <w:highlight w:val="none"/>
        </w:rPr>
      </w:pPr>
    </w:p>
    <w:p>
      <w:pPr>
        <w:spacing w:line="400" w:lineRule="exact"/>
        <w:rPr>
          <w:rFonts w:ascii="宋体" w:hAnsi="宋体" w:cs="宋体"/>
          <w:color w:val="auto"/>
          <w:highlight w:val="none"/>
        </w:rPr>
      </w:pPr>
    </w:p>
    <w:p>
      <w:pPr>
        <w:spacing w:line="400" w:lineRule="exact"/>
        <w:rPr>
          <w:rFonts w:ascii="宋体" w:hAnsi="宋体" w:cs="宋体"/>
          <w:b/>
          <w:color w:val="auto"/>
          <w:sz w:val="48"/>
          <w:highlight w:val="none"/>
        </w:rPr>
      </w:pPr>
    </w:p>
    <w:p>
      <w:pPr>
        <w:spacing w:line="400" w:lineRule="exact"/>
        <w:rPr>
          <w:rFonts w:ascii="宋体" w:hAnsi="宋体" w:cs="宋体"/>
          <w:b/>
          <w:color w:val="auto"/>
          <w:sz w:val="48"/>
          <w:highlight w:val="none"/>
        </w:rPr>
      </w:pPr>
    </w:p>
    <w:p>
      <w:pPr>
        <w:pStyle w:val="2"/>
        <w:rPr>
          <w:color w:val="auto"/>
          <w:highlight w:val="none"/>
        </w:rPr>
      </w:pPr>
    </w:p>
    <w:p>
      <w:pPr>
        <w:spacing w:line="400" w:lineRule="exact"/>
        <w:rPr>
          <w:rFonts w:ascii="宋体" w:hAnsi="宋体" w:cs="宋体"/>
          <w:b/>
          <w:color w:val="auto"/>
          <w:sz w:val="48"/>
          <w:highlight w:val="none"/>
        </w:rPr>
      </w:pPr>
    </w:p>
    <w:p>
      <w:pPr>
        <w:spacing w:line="400" w:lineRule="exact"/>
        <w:rPr>
          <w:rFonts w:ascii="宋体" w:hAnsi="宋体" w:cs="宋体"/>
          <w:b/>
          <w:color w:val="auto"/>
          <w:sz w:val="48"/>
          <w:highlight w:val="none"/>
        </w:rPr>
      </w:pPr>
    </w:p>
    <w:p>
      <w:pPr>
        <w:pStyle w:val="14"/>
        <w:ind w:left="0" w:leftChars="0" w:right="1470"/>
        <w:rPr>
          <w:rFonts w:ascii="宋体" w:hAnsi="宋体" w:cs="宋体"/>
          <w:b/>
          <w:color w:val="auto"/>
          <w:sz w:val="48"/>
          <w:highlight w:val="none"/>
        </w:rPr>
      </w:pPr>
    </w:p>
    <w:p>
      <w:pPr>
        <w:pStyle w:val="14"/>
        <w:ind w:left="0" w:leftChars="0" w:right="1470"/>
        <w:rPr>
          <w:rFonts w:ascii="宋体" w:hAnsi="宋体" w:cs="宋体"/>
          <w:b/>
          <w:color w:val="auto"/>
          <w:sz w:val="48"/>
          <w:highlight w:val="none"/>
        </w:rPr>
      </w:pPr>
    </w:p>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第一部分 投标邀请书</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项目概况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温州理工学院滨海校区多媒体教室建设（二期）招标项目的潜在投标人应在</w:t>
      </w:r>
      <w:r>
        <w:rPr>
          <w:rFonts w:hint="eastAsia" w:ascii="宋体" w:hAnsi="宋体" w:eastAsia="宋体" w:cs="宋体"/>
          <w:i w:val="0"/>
          <w:iCs w:val="0"/>
          <w:caps w:val="0"/>
          <w:color w:val="000000"/>
          <w:spacing w:val="0"/>
          <w:sz w:val="22"/>
          <w:szCs w:val="22"/>
          <w:u w:val="none"/>
        </w:rPr>
        <w:t>政府采购云平台（https://www.zcygov.cn）</w:t>
      </w:r>
      <w:r>
        <w:rPr>
          <w:rFonts w:hint="eastAsia" w:ascii="宋体" w:hAnsi="宋体" w:eastAsia="宋体" w:cs="宋体"/>
          <w:i w:val="0"/>
          <w:iCs w:val="0"/>
          <w:caps w:val="0"/>
          <w:color w:val="000000"/>
          <w:spacing w:val="0"/>
          <w:sz w:val="22"/>
          <w:szCs w:val="22"/>
        </w:rPr>
        <w:t>获取（下载）招标文件，并于 </w:t>
      </w:r>
      <w:bookmarkStart w:id="15" w:name="_GoBack"/>
      <w:r>
        <w:rPr>
          <w:rFonts w:hint="eastAsia" w:ascii="宋体" w:hAnsi="宋体" w:eastAsia="宋体" w:cs="宋体"/>
          <w:i w:val="0"/>
          <w:iCs w:val="0"/>
          <w:caps w:val="0"/>
          <w:color w:val="000000"/>
          <w:spacing w:val="0"/>
          <w:sz w:val="22"/>
          <w:szCs w:val="22"/>
        </w:rPr>
        <w:t>2022年07月27日</w:t>
      </w:r>
      <w:bookmarkEnd w:id="15"/>
      <w:r>
        <w:rPr>
          <w:rFonts w:hint="eastAsia" w:ascii="宋体" w:hAnsi="宋体" w:eastAsia="宋体" w:cs="宋体"/>
          <w:i w:val="0"/>
          <w:iCs w:val="0"/>
          <w:caps w:val="0"/>
          <w:color w:val="000000"/>
          <w:spacing w:val="0"/>
          <w:sz w:val="22"/>
          <w:szCs w:val="22"/>
        </w:rPr>
        <w:t xml:space="preserve"> 09:30（北京时间）前递交（上传）投标文件。</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1"/>
          <w:rFonts w:hint="eastAsia" w:ascii="宋体" w:hAnsi="宋体" w:eastAsia="宋体" w:cs="宋体"/>
          <w:i w:val="0"/>
          <w:iCs w:val="0"/>
          <w:caps w:val="0"/>
          <w:color w:val="000000"/>
          <w:spacing w:val="0"/>
          <w:sz w:val="22"/>
          <w:szCs w:val="22"/>
        </w:rPr>
        <w:t>一、项目基本情况</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项目编号：ZJYC2022145(GK)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项目名称：温州理工学院滨海校区多媒体教室建设（二期）</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预算金额（元）：2381350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最高限价（元）：/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采购需求：</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标项名称: 温州理工学院滨海校区多媒体教室建设（二期）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数量: 1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预算金额（元）: 2381350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简要规格描述或项目基本概况介绍、用途：详见招标文件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备注：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合同履约期限：标项 1，详见招标文件</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本项目（否）接受联合体投标。</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Style w:val="31"/>
          <w:rFonts w:hint="eastAsia" w:ascii="宋体" w:hAnsi="宋体" w:eastAsia="宋体" w:cs="宋体"/>
          <w:i w:val="0"/>
          <w:iCs w:val="0"/>
          <w:caps w:val="0"/>
          <w:color w:val="000000"/>
          <w:spacing w:val="0"/>
          <w:sz w:val="22"/>
          <w:szCs w:val="22"/>
        </w:rPr>
        <w:t>二、申请人的资格要求：</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2.落实政府采购政策需满足的资格要求：无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3.本项目的特定资格要求：无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1"/>
          <w:rFonts w:hint="eastAsia" w:ascii="宋体" w:hAnsi="宋体" w:eastAsia="宋体" w:cs="宋体"/>
          <w:i w:val="0"/>
          <w:iCs w:val="0"/>
          <w:caps w:val="0"/>
          <w:color w:val="000000"/>
          <w:spacing w:val="0"/>
          <w:sz w:val="22"/>
          <w:szCs w:val="22"/>
        </w:rPr>
        <w:t>三、获取招标文件</w:t>
      </w:r>
      <w:r>
        <w:rPr>
          <w:rFonts w:hint="eastAsia" w:ascii="宋体" w:hAnsi="宋体" w:eastAsia="宋体" w:cs="宋体"/>
          <w:i w:val="0"/>
          <w:iCs w:val="0"/>
          <w:caps w:val="0"/>
          <w:color w:val="000000"/>
          <w:spacing w:val="0"/>
          <w:sz w:val="22"/>
          <w:szCs w:val="22"/>
        </w:rPr>
        <w:t>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时间：2022年07月06日至2022年07月27日 ，每天上午00:00至12:00 ，下午12:00至23:59（北京时间，线上获取法定节假日均可，线下获取文件法定节假日除外）</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地点（网址）：政府采购云平台（https://www.zcygov.cn）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售价（元）：0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1"/>
          <w:rFonts w:hint="eastAsia" w:ascii="宋体" w:hAnsi="宋体" w:eastAsia="宋体" w:cs="宋体"/>
          <w:i w:val="0"/>
          <w:iCs w:val="0"/>
          <w:caps w:val="0"/>
          <w:color w:val="000000"/>
          <w:spacing w:val="0"/>
          <w:sz w:val="22"/>
          <w:szCs w:val="22"/>
        </w:rPr>
        <w:t>四、提交投标文件截止时间、开标时间和地点</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提交投标文件截止时间：2022年07月27日 09:30（北京时间）</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u w:val="none"/>
        </w:rPr>
        <w:t> 投标地点（网址）：政府采购云平台（https://www.zcygov.cn）</w:t>
      </w:r>
      <w:r>
        <w:rPr>
          <w:rFonts w:hint="eastAsia" w:ascii="宋体" w:hAnsi="宋体" w:eastAsia="宋体" w:cs="宋体"/>
          <w:i w:val="0"/>
          <w:iCs w:val="0"/>
          <w:caps w:val="0"/>
          <w:color w:val="000000"/>
          <w:spacing w:val="0"/>
          <w:sz w:val="22"/>
          <w:szCs w:val="22"/>
        </w:rPr>
        <w:t>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开标时间：2022年07月27日 09:30</w:t>
      </w:r>
      <w:r>
        <w:rPr>
          <w:rFonts w:hint="eastAsia" w:ascii="宋体" w:hAnsi="宋体" w:eastAsia="宋体" w:cs="宋体"/>
          <w:i w:val="0"/>
          <w:iCs w:val="0"/>
          <w:caps w:val="0"/>
          <w:color w:val="000000"/>
          <w:spacing w:val="0"/>
          <w:sz w:val="22"/>
          <w:szCs w:val="22"/>
        </w:rPr>
        <w:t>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u w:val="none"/>
        </w:rPr>
        <w:t>    开标地点（网址）：浙江乐诚工程咨询有限公司评审室（温州市瓯海区三垟街道桥头河大桥温州生命健康小镇B03)（政府采购云平台（https://www.zcygov.cn）</w:t>
      </w:r>
      <w:r>
        <w:rPr>
          <w:rFonts w:hint="eastAsia" w:ascii="宋体" w:hAnsi="宋体" w:eastAsia="宋体" w:cs="宋体"/>
          <w:i w:val="0"/>
          <w:iCs w:val="0"/>
          <w:caps w:val="0"/>
          <w:color w:val="000000"/>
          <w:spacing w:val="0"/>
          <w:sz w:val="22"/>
          <w:szCs w:val="22"/>
        </w:rPr>
        <w:t>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1"/>
          <w:rFonts w:hint="eastAsia" w:ascii="宋体" w:hAnsi="宋体" w:eastAsia="宋体" w:cs="宋体"/>
          <w:i w:val="0"/>
          <w:iCs w:val="0"/>
          <w:caps w:val="0"/>
          <w:color w:val="000000"/>
          <w:spacing w:val="0"/>
          <w:sz w:val="22"/>
          <w:szCs w:val="22"/>
        </w:rPr>
        <w:t>五、公告期限</w:t>
      </w:r>
      <w:r>
        <w:rPr>
          <w:rFonts w:hint="eastAsia" w:ascii="宋体" w:hAnsi="宋体" w:eastAsia="宋体" w:cs="宋体"/>
          <w:i w:val="0"/>
          <w:iCs w:val="0"/>
          <w:caps w:val="0"/>
          <w:color w:val="000000"/>
          <w:spacing w:val="0"/>
          <w:sz w:val="22"/>
          <w:szCs w:val="22"/>
        </w:rPr>
        <w:t>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自本公告发布之日起5个工作日。</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1"/>
          <w:rFonts w:hint="eastAsia" w:ascii="宋体" w:hAnsi="宋体" w:eastAsia="宋体" w:cs="宋体"/>
          <w:i w:val="0"/>
          <w:iCs w:val="0"/>
          <w:caps w:val="0"/>
          <w:color w:val="000000"/>
          <w:spacing w:val="0"/>
          <w:sz w:val="22"/>
          <w:szCs w:val="22"/>
        </w:rPr>
        <w:t>六、其他补充事宜</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3.其他事项：无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sz w:val="22"/>
          <w:szCs w:val="22"/>
        </w:rPr>
      </w:pPr>
      <w:r>
        <w:rPr>
          <w:rStyle w:val="31"/>
          <w:rFonts w:hint="eastAsia" w:ascii="宋体" w:hAnsi="宋体" w:eastAsia="宋体" w:cs="宋体"/>
          <w:i w:val="0"/>
          <w:iCs w:val="0"/>
          <w:caps w:val="0"/>
          <w:color w:val="000000"/>
          <w:spacing w:val="0"/>
          <w:sz w:val="22"/>
          <w:szCs w:val="22"/>
        </w:rPr>
        <w:t>七、对本次采购提出询问、质疑、投诉，请按以下方式联系</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1.采购人信息</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称：温州理工学院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址：温州市瓯海区茶山高教园区景观大道1号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项目联系人（询问）：李老师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项目联系方式（询问）：0577-86680752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质疑联系人：杨老师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质疑联系方式：0577-86680752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2.采购代理机构信息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称：浙江乐诚工程咨询有限公司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址：温州市瓯海区三垟街道桥头河大桥温州生命健康小镇B03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项目联系人（询问）：王女士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项目联系方式（询问）：18357703076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质疑联系人：陈素芳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质疑联系方式：15805779720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r>
        <w:rPr>
          <w:rFonts w:hint="eastAsia" w:ascii="宋体" w:hAnsi="宋体" w:eastAsia="宋体" w:cs="宋体"/>
          <w:i w:val="0"/>
          <w:iCs w:val="0"/>
          <w:caps w:val="0"/>
          <w:color w:val="000000"/>
          <w:spacing w:val="0"/>
          <w:sz w:val="22"/>
          <w:szCs w:val="22"/>
        </w:rPr>
        <w:br w:type="textWrapping"/>
      </w:r>
      <w:r>
        <w:rPr>
          <w:rFonts w:hint="eastAsia" w:ascii="宋体" w:hAnsi="宋体" w:eastAsia="宋体" w:cs="宋体"/>
          <w:i w:val="0"/>
          <w:iCs w:val="0"/>
          <w:caps w:val="0"/>
          <w:color w:val="000000"/>
          <w:spacing w:val="0"/>
          <w:sz w:val="22"/>
          <w:szCs w:val="22"/>
        </w:rPr>
        <w:t>    3.同级政府采购监督管理部门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名    称：温州市财政局政府采购监管处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地    址：温州市鹿城区绣山路299号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传    真：/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联系人 ：项先生、蔡女士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监督投诉电话：0577-88532725、88521948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         </w:t>
      </w:r>
    </w:p>
    <w:p>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2"/>
          <w:szCs w:val="22"/>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CA问题联系电话（人工）：汇信CA 400-888-4636；天谷CA 400-087-8198。</w:t>
      </w:r>
    </w:p>
    <w:p>
      <w:pPr>
        <w:pStyle w:val="25"/>
        <w:spacing w:before="0" w:beforeAutospacing="0" w:after="0" w:afterAutospacing="0" w:line="360" w:lineRule="exact"/>
        <w:rPr>
          <w:color w:val="auto"/>
          <w:sz w:val="22"/>
          <w:highlight w:val="none"/>
        </w:rPr>
      </w:pPr>
    </w:p>
    <w:p>
      <w:pPr>
        <w:pStyle w:val="25"/>
        <w:spacing w:before="0" w:beforeAutospacing="0" w:after="0" w:afterAutospacing="0" w:line="360" w:lineRule="exact"/>
        <w:rPr>
          <w:color w:val="auto"/>
          <w:sz w:val="22"/>
          <w:highlight w:val="none"/>
        </w:rPr>
      </w:pPr>
    </w:p>
    <w:p>
      <w:pPr>
        <w:widowControl/>
        <w:spacing w:line="360" w:lineRule="exact"/>
        <w:ind w:firstLine="440" w:firstLineChars="200"/>
        <w:jc w:val="right"/>
        <w:rPr>
          <w:rFonts w:ascii="宋体" w:hAnsi="宋体" w:cs="宋体"/>
          <w:color w:val="auto"/>
          <w:spacing w:val="-6"/>
          <w:sz w:val="22"/>
          <w:highlight w:val="none"/>
          <w:lang w:val="zh-CN"/>
        </w:rPr>
      </w:pPr>
      <w:r>
        <w:rPr>
          <w:rFonts w:hint="eastAsia" w:ascii="宋体" w:hAnsi="宋体" w:cs="宋体"/>
          <w:color w:val="auto"/>
          <w:kern w:val="0"/>
          <w:sz w:val="22"/>
          <w:highlight w:val="none"/>
        </w:rPr>
        <w:t>       </w:t>
      </w:r>
      <w:r>
        <w:rPr>
          <w:rFonts w:hint="eastAsia" w:ascii="宋体" w:hAnsi="宋体" w:cs="宋体"/>
          <w:color w:val="auto"/>
          <w:spacing w:val="-6"/>
          <w:sz w:val="22"/>
          <w:highlight w:val="none"/>
          <w:lang w:val="zh-CN"/>
        </w:rPr>
        <w:t>温州理工学院</w:t>
      </w:r>
    </w:p>
    <w:p>
      <w:pPr>
        <w:spacing w:line="360" w:lineRule="exact"/>
        <w:ind w:firstLine="440" w:firstLineChars="200"/>
        <w:jc w:val="right"/>
        <w:rPr>
          <w:rFonts w:ascii="宋体" w:hAnsi="宋体" w:cs="宋体"/>
          <w:color w:val="auto"/>
          <w:kern w:val="0"/>
          <w:sz w:val="22"/>
          <w:highlight w:val="none"/>
        </w:rPr>
      </w:pPr>
      <w:r>
        <w:rPr>
          <w:rFonts w:hint="eastAsia" w:ascii="宋体" w:hAnsi="宋体" w:cs="宋体"/>
          <w:color w:val="auto"/>
          <w:kern w:val="0"/>
          <w:sz w:val="22"/>
          <w:highlight w:val="none"/>
        </w:rPr>
        <w:t>浙江乐诚工程咨询有限公司</w:t>
      </w:r>
    </w:p>
    <w:p>
      <w:pPr>
        <w:spacing w:line="360" w:lineRule="exact"/>
        <w:jc w:val="right"/>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2022年07月</w:t>
      </w:r>
      <w:r>
        <w:rPr>
          <w:rFonts w:hint="eastAsia" w:ascii="宋体" w:hAnsi="宋体" w:cs="宋体"/>
          <w:color w:val="auto"/>
          <w:sz w:val="22"/>
          <w:highlight w:val="none"/>
          <w:lang w:val="en-US" w:eastAsia="zh-CN"/>
        </w:rPr>
        <w:t>06</w:t>
      </w:r>
      <w:r>
        <w:rPr>
          <w:rFonts w:hint="eastAsia" w:ascii="宋体" w:hAnsi="宋体" w:cs="宋体"/>
          <w:color w:val="auto"/>
          <w:sz w:val="22"/>
          <w:highlight w:val="none"/>
          <w:lang w:eastAsia="zh-CN"/>
        </w:rPr>
        <w:t>日</w:t>
      </w:r>
    </w:p>
    <w:p>
      <w:pPr>
        <w:rPr>
          <w:b/>
          <w:bCs/>
          <w:color w:val="auto"/>
          <w:sz w:val="32"/>
          <w:szCs w:val="32"/>
          <w:highlight w:val="none"/>
        </w:rPr>
      </w:pPr>
    </w:p>
    <w:p>
      <w:pPr>
        <w:spacing w:line="360" w:lineRule="exact"/>
        <w:rPr>
          <w:rFonts w:ascii="宋体" w:hAnsi="宋体" w:cs="宋体"/>
          <w:color w:val="auto"/>
          <w:highlight w:val="none"/>
        </w:rPr>
      </w:pPr>
    </w:p>
    <w:p>
      <w:pPr>
        <w:spacing w:line="400" w:lineRule="exact"/>
        <w:jc w:val="right"/>
        <w:rPr>
          <w:rFonts w:ascii="宋体" w:hAnsi="宋体" w:cs="宋体"/>
          <w:b/>
          <w:color w:val="auto"/>
          <w:sz w:val="32"/>
          <w:highlight w:val="none"/>
        </w:rPr>
      </w:pPr>
    </w:p>
    <w:p>
      <w:pPr>
        <w:pStyle w:val="12"/>
        <w:ind w:left="643" w:hanging="643"/>
        <w:rPr>
          <w:rFonts w:ascii="宋体" w:hAnsi="宋体" w:cs="宋体"/>
          <w:b/>
          <w:color w:val="auto"/>
          <w:sz w:val="32"/>
          <w:highlight w:val="none"/>
        </w:rPr>
      </w:pPr>
    </w:p>
    <w:p>
      <w:pPr>
        <w:rPr>
          <w:rFonts w:ascii="宋体" w:hAnsi="宋体" w:cs="宋体"/>
          <w:b/>
          <w:color w:val="auto"/>
          <w:sz w:val="32"/>
          <w:highlight w:val="none"/>
        </w:rPr>
      </w:pPr>
    </w:p>
    <w:p>
      <w:pPr>
        <w:pStyle w:val="12"/>
        <w:ind w:left="643" w:hanging="643"/>
        <w:rPr>
          <w:rFonts w:ascii="宋体" w:hAnsi="宋体" w:cs="宋体"/>
          <w:b/>
          <w:color w:val="auto"/>
          <w:sz w:val="32"/>
          <w:highlight w:val="none"/>
        </w:rPr>
      </w:pPr>
    </w:p>
    <w:p>
      <w:pPr>
        <w:rPr>
          <w:rFonts w:ascii="宋体" w:hAnsi="宋体" w:cs="宋体"/>
          <w:b/>
          <w:color w:val="auto"/>
          <w:sz w:val="32"/>
          <w:highlight w:val="none"/>
        </w:rPr>
      </w:pPr>
    </w:p>
    <w:p>
      <w:pPr>
        <w:pStyle w:val="12"/>
        <w:ind w:left="643" w:hanging="643"/>
        <w:rPr>
          <w:rFonts w:ascii="宋体" w:hAnsi="宋体" w:cs="宋体"/>
          <w:b/>
          <w:color w:val="auto"/>
          <w:sz w:val="32"/>
          <w:highlight w:val="none"/>
        </w:rPr>
      </w:pPr>
    </w:p>
    <w:p>
      <w:pPr>
        <w:rPr>
          <w:rFonts w:ascii="宋体" w:hAnsi="宋体" w:cs="宋体"/>
          <w:b/>
          <w:color w:val="auto"/>
          <w:sz w:val="32"/>
          <w:highlight w:val="none"/>
        </w:rPr>
      </w:pPr>
    </w:p>
    <w:p>
      <w:pPr>
        <w:pStyle w:val="2"/>
        <w:rPr>
          <w:rFonts w:ascii="宋体" w:hAnsi="宋体" w:eastAsia="宋体" w:cs="宋体"/>
          <w:b/>
          <w:color w:val="auto"/>
          <w:sz w:val="32"/>
          <w:highlight w:val="none"/>
        </w:rPr>
      </w:pPr>
    </w:p>
    <w:p>
      <w:pPr>
        <w:rPr>
          <w:color w:val="auto"/>
          <w:highlight w:val="none"/>
        </w:rPr>
      </w:pPr>
    </w:p>
    <w:p>
      <w:pPr>
        <w:pStyle w:val="12"/>
        <w:ind w:left="643" w:hanging="643"/>
        <w:rPr>
          <w:rFonts w:ascii="宋体" w:hAnsi="宋体" w:cs="宋体"/>
          <w:b/>
          <w:color w:val="auto"/>
          <w:sz w:val="32"/>
          <w:highlight w:val="none"/>
        </w:rPr>
      </w:pPr>
    </w:p>
    <w:p>
      <w:pPr>
        <w:rPr>
          <w:rFonts w:ascii="宋体" w:hAnsi="宋体" w:cs="宋体"/>
          <w:b/>
          <w:color w:val="auto"/>
          <w:sz w:val="32"/>
          <w:highlight w:val="none"/>
        </w:rPr>
      </w:pPr>
    </w:p>
    <w:p>
      <w:pPr>
        <w:pStyle w:val="12"/>
        <w:ind w:left="643" w:hanging="643"/>
        <w:rPr>
          <w:rFonts w:ascii="宋体" w:hAnsi="宋体" w:cs="宋体"/>
          <w:b/>
          <w:color w:val="auto"/>
          <w:sz w:val="32"/>
          <w:highlight w:val="none"/>
        </w:rPr>
      </w:pPr>
    </w:p>
    <w:p>
      <w:pPr>
        <w:rPr>
          <w:rFonts w:ascii="宋体" w:hAnsi="宋体" w:cs="宋体"/>
          <w:b/>
          <w:color w:val="auto"/>
          <w:sz w:val="32"/>
          <w:highlight w:val="none"/>
        </w:rPr>
      </w:pPr>
    </w:p>
    <w:p>
      <w:pPr>
        <w:pStyle w:val="2"/>
        <w:rPr>
          <w:rFonts w:ascii="宋体" w:hAnsi="宋体" w:cs="宋体"/>
          <w:b/>
          <w:color w:val="auto"/>
          <w:sz w:val="32"/>
          <w:highlight w:val="none"/>
        </w:rPr>
      </w:pPr>
    </w:p>
    <w:p>
      <w:pPr>
        <w:rPr>
          <w:rFonts w:ascii="宋体" w:hAnsi="宋体" w:cs="宋体"/>
          <w:b/>
          <w:color w:val="auto"/>
          <w:sz w:val="32"/>
          <w:highlight w:val="none"/>
        </w:rPr>
      </w:pPr>
    </w:p>
    <w:p>
      <w:pPr>
        <w:pStyle w:val="2"/>
        <w:rPr>
          <w:rFonts w:ascii="宋体" w:hAnsi="宋体" w:cs="宋体"/>
          <w:b/>
          <w:color w:val="auto"/>
          <w:sz w:val="32"/>
          <w:highlight w:val="none"/>
        </w:rPr>
      </w:pPr>
    </w:p>
    <w:p>
      <w:pPr>
        <w:rPr>
          <w:color w:val="auto"/>
          <w:highlight w:val="none"/>
        </w:rPr>
      </w:pPr>
    </w:p>
    <w:p>
      <w:pPr>
        <w:pStyle w:val="2"/>
        <w:rPr>
          <w:rFonts w:ascii="宋体" w:hAnsi="宋体" w:cs="宋体"/>
          <w:b/>
          <w:color w:val="auto"/>
          <w:sz w:val="32"/>
          <w:highlight w:val="none"/>
        </w:rPr>
      </w:pPr>
    </w:p>
    <w:p>
      <w:pPr>
        <w:rPr>
          <w:rFonts w:ascii="宋体" w:hAnsi="宋体" w:cs="宋体"/>
          <w:b/>
          <w:color w:val="auto"/>
          <w:sz w:val="32"/>
          <w:highlight w:val="none"/>
        </w:rPr>
      </w:pPr>
    </w:p>
    <w:p>
      <w:pPr>
        <w:pStyle w:val="2"/>
        <w:rPr>
          <w:rFonts w:ascii="宋体" w:hAnsi="宋体" w:cs="宋体"/>
          <w:b/>
          <w:color w:val="auto"/>
          <w:sz w:val="32"/>
          <w:highlight w:val="none"/>
        </w:rPr>
      </w:pPr>
    </w:p>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第二部分  投标人须知</w:t>
      </w:r>
    </w:p>
    <w:p>
      <w:pPr>
        <w:spacing w:line="3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投标人须知前附表</w:t>
      </w:r>
    </w:p>
    <w:tbl>
      <w:tblPr>
        <w:tblStyle w:val="28"/>
        <w:tblW w:w="9780" w:type="dxa"/>
        <w:jc w:val="center"/>
        <w:tblLayout w:type="fixed"/>
        <w:tblCellMar>
          <w:top w:w="0" w:type="dxa"/>
          <w:left w:w="108" w:type="dxa"/>
          <w:bottom w:w="0" w:type="dxa"/>
          <w:right w:w="108" w:type="dxa"/>
        </w:tblCellMar>
      </w:tblPr>
      <w:tblGrid>
        <w:gridCol w:w="708"/>
        <w:gridCol w:w="1559"/>
        <w:gridCol w:w="7513"/>
      </w:tblGrid>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ind w:right="416"/>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温州理工学院</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温州理工学院滨海校区多媒体教室建设（二期）</w:t>
            </w:r>
          </w:p>
          <w:p>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lang w:val="zh-CN"/>
              </w:rPr>
              <w:t>项目编号：ZJYC2022145(GK)</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▲预算金额</w:t>
            </w:r>
            <w:r>
              <w:rPr>
                <w:rFonts w:hint="eastAsia" w:ascii="宋体" w:hAnsi="宋体" w:cs="宋体"/>
                <w:color w:val="auto"/>
                <w:sz w:val="22"/>
                <w:highlight w:val="none"/>
                <w:u w:val="single"/>
                <w:lang w:eastAsia="zh-CN"/>
              </w:rPr>
              <w:t>2381350</w:t>
            </w:r>
            <w:r>
              <w:rPr>
                <w:rFonts w:hint="eastAsia" w:ascii="宋体" w:hAnsi="宋体" w:cs="宋体"/>
                <w:color w:val="auto"/>
                <w:sz w:val="22"/>
                <w:highlight w:val="none"/>
                <w:u w:val="single"/>
                <w:lang w:val="zh-CN"/>
              </w:rPr>
              <w:t>元，报价超过预算金额的投标无效。</w:t>
            </w:r>
          </w:p>
          <w:p>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lang w:val="zh-CN"/>
              </w:rPr>
              <w:t>采购资金来源：财政拨款。</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lang w:val="zh-CN"/>
              </w:rPr>
            </w:pPr>
            <w:r>
              <w:rPr>
                <w:rFonts w:hint="eastAsia" w:ascii="宋体" w:hAnsi="宋体" w:cs="宋体"/>
                <w:color w:val="auto"/>
                <w:sz w:val="22"/>
                <w:highlight w:val="none"/>
                <w:lang w:val="zh-CN"/>
              </w:rPr>
              <w:t>详见第五部分</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投标报价是指一次性报出不得更改的价格；</w:t>
            </w:r>
          </w:p>
          <w:p>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kern w:val="0"/>
                <w:sz w:val="22"/>
                <w:highlight w:val="none"/>
                <w:lang w:val="zh-CN"/>
              </w:rPr>
              <w:t>2.</w:t>
            </w:r>
            <w:r>
              <w:rPr>
                <w:rFonts w:hint="eastAsia" w:ascii="宋体" w:hAnsi="宋体" w:cs="宋体"/>
                <w:bCs/>
                <w:color w:val="auto"/>
                <w:sz w:val="22"/>
                <w:highlight w:val="none"/>
              </w:rPr>
              <w:t>采用人民币报价</w:t>
            </w:r>
            <w:r>
              <w:rPr>
                <w:rFonts w:hint="eastAsia" w:ascii="宋体" w:hAnsi="宋体" w:cs="宋体"/>
                <w:bCs/>
                <w:snapToGrid w:val="0"/>
                <w:color w:val="auto"/>
                <w:sz w:val="22"/>
                <w:highlight w:val="none"/>
              </w:rPr>
              <w:t>。</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投标人资质格要求</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详见投标邀请书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是否接受联合体投标</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不接受</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w:t>
            </w:r>
            <w:r>
              <w:rPr>
                <w:rFonts w:hint="eastAsia" w:ascii="宋体" w:hAnsi="宋体" w:cs="宋体"/>
                <w:color w:val="auto"/>
                <w:kern w:val="0"/>
                <w:sz w:val="22"/>
                <w:highlight w:val="none"/>
              </w:rPr>
              <w:t>组织</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不允许</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751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7513" w:type="dxa"/>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pPr>
              <w:pStyle w:val="15"/>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投标人应准备电子投标文件、以介质存储的数据电文形式的备份电子投标文件二类：</w:t>
            </w:r>
          </w:p>
          <w:p>
            <w:pPr>
              <w:pStyle w:val="15"/>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（2）以介质存储的数据电文形式的备份电子投标文件（如有）：</w:t>
            </w:r>
            <w:r>
              <w:rPr>
                <w:rStyle w:val="31"/>
                <w:rFonts w:hint="eastAsia" w:ascii="宋体" w:hAnsi="宋体" w:cs="宋体"/>
                <w:bCs/>
                <w:color w:val="auto"/>
                <w:sz w:val="22"/>
                <w:highlight w:val="none"/>
              </w:rPr>
              <w:t>与“电子投标文件”同时生成的数据电</w:t>
            </w:r>
            <w:r>
              <w:rPr>
                <w:rFonts w:hint="eastAsia" w:ascii="宋体" w:hAnsi="宋体" w:cs="宋体"/>
                <w:b/>
                <w:bCs/>
                <w:color w:val="auto"/>
                <w:sz w:val="22"/>
                <w:highlight w:val="none"/>
              </w:rPr>
              <w:t>文形式的备份电子投标文件(文件扩展名为.bfbs)，投标截止时间前以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2812799762@qq.com，递</w:t>
            </w:r>
            <w:r>
              <w:rPr>
                <w:rFonts w:hint="eastAsia" w:ascii="宋体" w:hAnsi="宋体" w:cs="宋体"/>
                <w:b/>
                <w:bCs/>
                <w:color w:val="auto"/>
                <w:sz w:val="22"/>
                <w:highlight w:val="none"/>
                <w:lang w:val="zh-CN"/>
              </w:rPr>
              <w:t>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传送的备份电子投标文件需打包压缩并加密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1"/>
                <w:rFonts w:hint="eastAsia" w:ascii="宋体" w:hAnsi="宋体" w:cs="宋体"/>
                <w:bCs/>
                <w:color w:val="auto"/>
                <w:sz w:val="22"/>
                <w:highlight w:val="none"/>
              </w:rPr>
              <w:t>。</w:t>
            </w:r>
          </w:p>
          <w:p>
            <w:pPr>
              <w:pStyle w:val="15"/>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pPr>
              <w:pStyle w:val="15"/>
              <w:snapToGrid w:val="0"/>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注：中标人在领取中标通知书时按采购人要求提供全套纸质投标文件叁份。</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本项目原则上采用政采云电子招投标开标及评审程序，但有下情形之一的，按以下情况处理：</w:t>
            </w:r>
          </w:p>
          <w:p>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若投标人在规定时间内无法解密或解密失败，采购代理机构将开启所有投标人递交的以介质存储的数据电文形式的备份电子投标文件，上传至政采云平台项目采购模块，以完成开标，电子投标文件自动失效。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浙江乐诚工程咨询有限公司评审室（温州市瓯海区三垟街道桥头河大桥温州生命健康小镇B03)</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评标委员会的组建</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color w:val="auto"/>
                <w:sz w:val="22"/>
                <w:highlight w:val="none"/>
                <w:lang w:val="zh-CN"/>
              </w:rPr>
            </w:pPr>
            <w:r>
              <w:rPr>
                <w:rFonts w:hint="eastAsia" w:ascii="宋体" w:hAnsi="宋体" w:cs="宋体"/>
                <w:color w:val="auto"/>
                <w:sz w:val="22"/>
                <w:highlight w:val="none"/>
              </w:rPr>
              <w:t>评标委员会由采购人代表和评审专家组成，成员人数应当为5人以上单数，其中评审专家不得少于成员总数的三分之二。</w:t>
            </w:r>
          </w:p>
        </w:tc>
      </w:tr>
      <w:tr>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b/>
                <w:bCs/>
                <w:snapToGrid w:val="0"/>
                <w:color w:val="auto"/>
                <w:sz w:val="22"/>
                <w:highlight w:val="none"/>
              </w:rPr>
              <w:t>资格审查要求的资格证明材料</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color w:val="auto"/>
                <w:sz w:val="22"/>
                <w:highlight w:val="none"/>
              </w:rPr>
            </w:pPr>
            <w:r>
              <w:rPr>
                <w:rFonts w:hint="eastAsia" w:ascii="宋体" w:hAnsi="宋体" w:cs="宋体"/>
                <w:b/>
                <w:bCs/>
                <w:snapToGrid w:val="0"/>
                <w:color w:val="auto"/>
                <w:sz w:val="22"/>
                <w:highlight w:val="none"/>
              </w:rPr>
              <w:t>①有效的法人或者其他组织的营业执照等证明文件，自然人的身份证明（五选一）</w:t>
            </w:r>
            <w:r>
              <w:rPr>
                <w:rFonts w:hint="eastAsia" w:ascii="宋体" w:hAnsi="宋体" w:cs="宋体"/>
                <w:b/>
                <w:bCs/>
                <w:color w:val="auto"/>
                <w:sz w:val="22"/>
                <w:highlight w:val="none"/>
              </w:rPr>
              <w:t>（见附件4-1）</w:t>
            </w:r>
          </w:p>
          <w:p>
            <w:pPr>
              <w:autoSpaceDE w:val="0"/>
              <w:autoSpaceDN w:val="0"/>
              <w:adjustRightInd w:val="0"/>
              <w:spacing w:line="360" w:lineRule="exact"/>
              <w:jc w:val="left"/>
              <w:rPr>
                <w:rFonts w:ascii="宋体" w:hAnsi="宋体" w:cs="宋体"/>
                <w:b/>
                <w:bCs/>
                <w:color w:val="auto"/>
                <w:sz w:val="22"/>
                <w:highlight w:val="none"/>
              </w:rPr>
            </w:pPr>
            <w:r>
              <w:rPr>
                <w:rFonts w:hint="eastAsia" w:ascii="宋体" w:hAnsi="宋体" w:cs="宋体"/>
                <w:b/>
                <w:bCs/>
                <w:snapToGrid w:val="0"/>
                <w:color w:val="auto"/>
                <w:sz w:val="22"/>
                <w:highlight w:val="none"/>
              </w:rPr>
              <w:t>②关于符合《中华人民共和国政府采购法》第二十二条规定的承诺函</w:t>
            </w:r>
            <w:r>
              <w:rPr>
                <w:rFonts w:hint="eastAsia" w:ascii="宋体" w:hAnsi="宋体" w:cs="宋体"/>
                <w:b/>
                <w:bCs/>
                <w:color w:val="auto"/>
                <w:sz w:val="22"/>
                <w:highlight w:val="none"/>
              </w:rPr>
              <w:t>（见附件4-2）</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中小企业预留份额情况</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b/>
                <w:bCs/>
                <w:snapToGrid w:val="0"/>
                <w:color w:val="auto"/>
                <w:sz w:val="22"/>
                <w:highlight w:val="none"/>
              </w:rPr>
            </w:pPr>
            <w:r>
              <w:rPr>
                <w:rFonts w:hint="eastAsia" w:ascii="宋体" w:hAnsi="宋体" w:cs="宋体"/>
                <w:color w:val="auto"/>
                <w:sz w:val="22"/>
                <w:highlight w:val="none"/>
              </w:rPr>
              <w:t>根据《政府采购促进中小企业发展管理办法》财库〔2020〕46号文件的规定，本项目不属于预留份额专门面向中小企业采购的项目。</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项目属性</w:t>
            </w:r>
          </w:p>
        </w:tc>
        <w:tc>
          <w:tcPr>
            <w:tcW w:w="751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rPr>
                <w:rFonts w:ascii="宋体" w:hAnsi="宋体" w:cs="宋体"/>
                <w:color w:val="auto"/>
                <w:sz w:val="22"/>
                <w:highlight w:val="none"/>
              </w:rPr>
            </w:pPr>
            <w:r>
              <w:rPr>
                <w:rFonts w:hint="eastAsia" w:ascii="宋体" w:hAnsi="宋体" w:cs="宋体"/>
                <w:color w:val="auto"/>
                <w:sz w:val="22"/>
                <w:highlight w:val="none"/>
              </w:rPr>
              <w:t>货物类</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snapToGrid w:val="0"/>
                <w:color w:val="auto"/>
                <w:sz w:val="22"/>
                <w:highlight w:val="none"/>
              </w:rPr>
              <w:t>所属行业及标的名称</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1.中小企业划分标准所属行业（具体根据《中小企业划型标准规定》执行）</w:t>
            </w:r>
          </w:p>
          <w:p>
            <w:pPr>
              <w:spacing w:line="360" w:lineRule="exact"/>
              <w:rPr>
                <w:rFonts w:hint="eastAsia" w:ascii="宋体" w:hAnsi="宋体" w:cs="宋体"/>
                <w:color w:val="auto"/>
                <w:sz w:val="22"/>
                <w:highlight w:val="none"/>
              </w:rPr>
            </w:pPr>
            <w:r>
              <w:rPr>
                <w:rFonts w:hint="eastAsia" w:ascii="宋体" w:hAnsi="宋体" w:cs="宋体"/>
                <w:b/>
                <w:bCs/>
                <w:color w:val="auto"/>
                <w:sz w:val="22"/>
                <w:highlight w:val="none"/>
              </w:rPr>
              <w:t>所属行业：工业。</w:t>
            </w:r>
            <w:r>
              <w:rPr>
                <w:rFonts w:hint="eastAsia" w:ascii="宋体" w:hAnsi="宋体" w:cs="宋体"/>
                <w:color w:val="auto"/>
                <w:sz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exact"/>
              <w:rPr>
                <w:rFonts w:ascii="宋体" w:hAnsi="宋体" w:cs="宋体"/>
                <w:color w:val="auto"/>
                <w:sz w:val="22"/>
                <w:highlight w:val="none"/>
              </w:rPr>
            </w:pPr>
            <w:r>
              <w:rPr>
                <w:rFonts w:hint="eastAsia" w:ascii="宋体" w:hAnsi="宋体" w:cs="宋体"/>
                <w:b/>
                <w:bCs/>
                <w:color w:val="auto"/>
                <w:sz w:val="22"/>
                <w:highlight w:val="none"/>
              </w:rPr>
              <w:t>2.标的名称：</w:t>
            </w:r>
            <w:r>
              <w:rPr>
                <w:rFonts w:hint="eastAsia" w:ascii="宋体" w:hAnsi="宋体" w:cs="宋体"/>
                <w:b/>
                <w:bCs/>
                <w:color w:val="auto"/>
                <w:kern w:val="0"/>
                <w:sz w:val="22"/>
                <w:highlight w:val="none"/>
              </w:rPr>
              <w:t>多媒体教室主机1</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rPr>
              <w:t>多媒体教室主机2</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rPr>
              <w:t>拾音麦克风</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rPr>
              <w:t>高清摄像机1</w:t>
            </w:r>
            <w:r>
              <w:rPr>
                <w:rFonts w:hint="eastAsia" w:ascii="宋体" w:hAnsi="宋体" w:cs="宋体"/>
                <w:b/>
                <w:bCs/>
                <w:color w:val="auto"/>
                <w:kern w:val="0"/>
                <w:sz w:val="22"/>
                <w:highlight w:val="none"/>
                <w:lang w:val="en-US" w:eastAsia="zh-CN"/>
              </w:rPr>
              <w:t>（4K网络）、</w:t>
            </w:r>
            <w:r>
              <w:rPr>
                <w:rFonts w:hint="eastAsia" w:ascii="宋体" w:hAnsi="宋体" w:cs="宋体"/>
                <w:b/>
                <w:bCs/>
                <w:color w:val="auto"/>
                <w:kern w:val="0"/>
                <w:sz w:val="22"/>
                <w:highlight w:val="none"/>
              </w:rPr>
              <w:t>高清摄像机2</w:t>
            </w:r>
            <w:r>
              <w:rPr>
                <w:rFonts w:hint="eastAsia" w:ascii="宋体" w:hAnsi="宋体" w:cs="宋体"/>
                <w:b/>
                <w:bCs/>
                <w:color w:val="auto"/>
                <w:kern w:val="0"/>
                <w:sz w:val="22"/>
                <w:highlight w:val="none"/>
                <w:lang w:val="en-US" w:eastAsia="zh-CN"/>
              </w:rPr>
              <w:t>（USB）、</w:t>
            </w:r>
            <w:r>
              <w:rPr>
                <w:rFonts w:hint="eastAsia" w:ascii="宋体" w:hAnsi="宋体" w:cs="宋体"/>
                <w:b/>
                <w:bCs/>
                <w:color w:val="auto"/>
                <w:kern w:val="0"/>
                <w:sz w:val="22"/>
                <w:highlight w:val="none"/>
              </w:rPr>
              <w:t>音箱</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rPr>
              <w:t>讲台</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rPr>
              <w:t>电子班牌</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rPr>
              <w:t>电子时钟</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lang w:val="en-US" w:eastAsia="zh-CN"/>
              </w:rPr>
              <w:t>辅助显示屏（</w:t>
            </w:r>
            <w:r>
              <w:rPr>
                <w:rFonts w:hint="eastAsia" w:ascii="宋体" w:hAnsi="宋体" w:cs="宋体"/>
                <w:b/>
                <w:bCs/>
                <w:color w:val="auto"/>
                <w:kern w:val="0"/>
                <w:sz w:val="22"/>
                <w:highlight w:val="none"/>
              </w:rPr>
              <w:t>电视机</w:t>
            </w:r>
            <w:r>
              <w:rPr>
                <w:rFonts w:hint="eastAsia" w:ascii="宋体" w:hAnsi="宋体" w:cs="宋体"/>
                <w:b/>
                <w:bCs/>
                <w:color w:val="auto"/>
                <w:kern w:val="0"/>
                <w:sz w:val="22"/>
                <w:highlight w:val="none"/>
                <w:lang w:val="en-US" w:eastAsia="zh-CN"/>
              </w:rPr>
              <w:t>）、</w:t>
            </w:r>
            <w:r>
              <w:rPr>
                <w:rFonts w:hint="eastAsia" w:ascii="宋体" w:hAnsi="宋体" w:cs="宋体"/>
                <w:b/>
                <w:bCs/>
                <w:color w:val="auto"/>
                <w:kern w:val="0"/>
                <w:sz w:val="22"/>
                <w:highlight w:val="none"/>
              </w:rPr>
              <w:t>电动屏幕</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rPr>
              <w:t>高清矩阵板卡</w:t>
            </w:r>
            <w:r>
              <w:rPr>
                <w:rFonts w:hint="eastAsia" w:ascii="宋体" w:hAnsi="宋体" w:cs="宋体"/>
                <w:b/>
                <w:bCs/>
                <w:color w:val="auto"/>
                <w:kern w:val="0"/>
                <w:sz w:val="22"/>
                <w:highlight w:val="none"/>
                <w:lang w:val="en-US" w:eastAsia="zh-CN"/>
              </w:rPr>
              <w:t>（4路HDMI输入）、</w:t>
            </w:r>
            <w:r>
              <w:rPr>
                <w:rFonts w:hint="eastAsia" w:ascii="宋体" w:hAnsi="宋体" w:cs="宋体"/>
                <w:b/>
                <w:bCs/>
                <w:color w:val="auto"/>
                <w:kern w:val="0"/>
                <w:sz w:val="22"/>
                <w:highlight w:val="none"/>
              </w:rPr>
              <w:t>搪瓷白板1</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rPr>
              <w:t>搪瓷白板2</w:t>
            </w:r>
            <w:r>
              <w:rPr>
                <w:rFonts w:hint="eastAsia" w:ascii="宋体" w:hAnsi="宋体" w:cs="宋体"/>
                <w:b/>
                <w:bCs/>
                <w:color w:val="auto"/>
                <w:kern w:val="0"/>
                <w:sz w:val="22"/>
                <w:highlight w:val="none"/>
                <w:lang w:eastAsia="zh-CN"/>
              </w:rPr>
              <w:t>、</w:t>
            </w:r>
            <w:r>
              <w:rPr>
                <w:rFonts w:hint="eastAsia" w:ascii="宋体" w:hAnsi="宋体" w:cs="宋体"/>
                <w:b/>
                <w:bCs/>
                <w:color w:val="auto"/>
                <w:kern w:val="0"/>
                <w:sz w:val="22"/>
                <w:highlight w:val="none"/>
                <w:lang w:val="en-US" w:eastAsia="zh-CN"/>
              </w:rPr>
              <w:t>国产多媒体教室管理系统授权（</w:t>
            </w:r>
            <w:r>
              <w:rPr>
                <w:rFonts w:hint="eastAsia" w:ascii="宋体" w:hAnsi="宋体" w:cs="宋体"/>
                <w:b/>
                <w:bCs/>
                <w:color w:val="auto"/>
                <w:kern w:val="0"/>
                <w:sz w:val="22"/>
                <w:highlight w:val="none"/>
              </w:rPr>
              <w:t>嵌入式管理系统软件</w:t>
            </w:r>
            <w:r>
              <w:rPr>
                <w:rFonts w:hint="eastAsia" w:ascii="宋体" w:hAnsi="宋体" w:cs="宋体"/>
                <w:b/>
                <w:bCs/>
                <w:color w:val="auto"/>
                <w:kern w:val="0"/>
                <w:sz w:val="22"/>
                <w:highlight w:val="none"/>
                <w:lang w:val="en-US" w:eastAsia="zh-CN"/>
              </w:rPr>
              <w:t>）、国产多媒体教室</w:t>
            </w:r>
            <w:r>
              <w:rPr>
                <w:rFonts w:hint="eastAsia" w:ascii="宋体" w:hAnsi="宋体" w:cs="宋体"/>
                <w:b/>
                <w:bCs/>
                <w:color w:val="auto"/>
                <w:kern w:val="0"/>
                <w:sz w:val="22"/>
                <w:highlight w:val="none"/>
              </w:rPr>
              <w:t>直录</w:t>
            </w:r>
            <w:r>
              <w:rPr>
                <w:rFonts w:hint="eastAsia" w:ascii="宋体" w:hAnsi="宋体" w:cs="宋体"/>
                <w:b/>
                <w:bCs/>
                <w:color w:val="auto"/>
                <w:kern w:val="0"/>
                <w:sz w:val="22"/>
                <w:highlight w:val="none"/>
                <w:lang w:val="en-US" w:eastAsia="zh-CN"/>
              </w:rPr>
              <w:t>播系统授权（</w:t>
            </w:r>
            <w:r>
              <w:rPr>
                <w:rFonts w:hint="eastAsia" w:ascii="宋体" w:hAnsi="宋体" w:cs="宋体"/>
                <w:b/>
                <w:bCs/>
                <w:color w:val="auto"/>
                <w:kern w:val="0"/>
                <w:sz w:val="22"/>
                <w:highlight w:val="none"/>
              </w:rPr>
              <w:t>直录播系统软件</w:t>
            </w:r>
            <w:r>
              <w:rPr>
                <w:rFonts w:hint="eastAsia" w:ascii="宋体" w:hAnsi="宋体" w:cs="宋体"/>
                <w:b/>
                <w:bCs/>
                <w:color w:val="auto"/>
                <w:kern w:val="0"/>
                <w:sz w:val="22"/>
                <w:highlight w:val="none"/>
                <w:lang w:val="en-US" w:eastAsia="zh-CN"/>
              </w:rPr>
              <w:t>）</w:t>
            </w:r>
            <w:r>
              <w:rPr>
                <w:rFonts w:hint="eastAsia" w:ascii="宋体" w:hAnsi="宋体" w:cs="宋体"/>
                <w:b/>
                <w:bCs/>
                <w:color w:val="auto"/>
                <w:kern w:val="0"/>
                <w:sz w:val="22"/>
                <w:highlight w:val="none"/>
                <w:lang w:eastAsia="zh-CN"/>
              </w:rPr>
              <w:t>、</w:t>
            </w:r>
            <w:r>
              <w:rPr>
                <w:rFonts w:hint="eastAsia" w:ascii="宋体" w:hAnsi="宋体" w:cs="宋体"/>
                <w:b/>
                <w:bCs/>
                <w:color w:val="auto"/>
                <w:sz w:val="22"/>
                <w:highlight w:val="none"/>
              </w:rPr>
              <w:t>学生课桌1</w:t>
            </w:r>
            <w:r>
              <w:rPr>
                <w:rFonts w:hint="eastAsia" w:ascii="宋体" w:hAnsi="宋体" w:cs="宋体"/>
                <w:b/>
                <w:bCs/>
                <w:color w:val="auto"/>
                <w:kern w:val="0"/>
                <w:sz w:val="22"/>
                <w:highlight w:val="none"/>
                <w:lang w:eastAsia="zh-CN"/>
              </w:rPr>
              <w:t>、</w:t>
            </w:r>
            <w:r>
              <w:rPr>
                <w:rFonts w:hint="eastAsia" w:ascii="宋体" w:hAnsi="宋体" w:cs="宋体"/>
                <w:b/>
                <w:bCs/>
                <w:color w:val="auto"/>
                <w:sz w:val="22"/>
                <w:highlight w:val="none"/>
              </w:rPr>
              <w:t>学生课桌</w:t>
            </w:r>
            <w:r>
              <w:rPr>
                <w:rFonts w:ascii="宋体" w:hAnsi="宋体" w:cs="宋体"/>
                <w:b/>
                <w:bCs/>
                <w:color w:val="auto"/>
                <w:sz w:val="22"/>
                <w:highlight w:val="none"/>
              </w:rPr>
              <w:t>2</w:t>
            </w:r>
            <w:r>
              <w:rPr>
                <w:rFonts w:hint="eastAsia" w:ascii="宋体" w:hAnsi="宋体" w:cs="宋体"/>
                <w:b/>
                <w:bCs/>
                <w:color w:val="auto"/>
                <w:kern w:val="0"/>
                <w:sz w:val="22"/>
                <w:highlight w:val="none"/>
                <w:lang w:eastAsia="zh-CN"/>
              </w:rPr>
              <w:t>、</w:t>
            </w:r>
            <w:r>
              <w:rPr>
                <w:rFonts w:hint="eastAsia" w:ascii="宋体" w:hAnsi="宋体" w:cs="宋体"/>
                <w:b/>
                <w:bCs/>
                <w:color w:val="auto"/>
                <w:sz w:val="22"/>
                <w:highlight w:val="none"/>
              </w:rPr>
              <w:t>学生座椅</w:t>
            </w:r>
            <w:r>
              <w:rPr>
                <w:rFonts w:hint="eastAsia" w:ascii="宋体" w:hAnsi="宋体" w:cs="宋体"/>
                <w:b/>
                <w:bCs/>
                <w:color w:val="auto"/>
                <w:sz w:val="22"/>
                <w:highlight w:val="none"/>
                <w:lang w:val="zh-CN"/>
              </w:rPr>
              <w:t>。</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综合评分法，详见第六部分  评标原则及方法。</w:t>
            </w:r>
          </w:p>
        </w:tc>
      </w:tr>
      <w:tr>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7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合同签订</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中标人须在中标通知书发出之日起30日历天内与采购人签订合同。</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电子投标注意事项</w:t>
            </w:r>
          </w:p>
        </w:tc>
        <w:tc>
          <w:tcPr>
            <w:tcW w:w="7513" w:type="dxa"/>
            <w:tcBorders>
              <w:top w:val="single" w:color="auto" w:sz="4" w:space="0"/>
              <w:left w:val="single" w:color="auto" w:sz="4" w:space="0"/>
              <w:bottom w:val="single" w:color="auto" w:sz="4" w:space="0"/>
              <w:right w:val="single" w:color="auto" w:sz="4" w:space="0"/>
            </w:tcBorders>
            <w:vAlign w:val="center"/>
          </w:tcPr>
          <w:p>
            <w:pPr>
              <w:pStyle w:val="36"/>
              <w:numPr>
                <w:ilvl w:val="0"/>
                <w:numId w:val="2"/>
              </w:numPr>
              <w:spacing w:line="360" w:lineRule="exact"/>
              <w:rPr>
                <w:rFonts w:cs="宋体"/>
                <w:color w:val="auto"/>
                <w:sz w:val="22"/>
                <w:highlight w:val="none"/>
              </w:rPr>
            </w:pPr>
            <w:r>
              <w:rPr>
                <w:rFonts w:hint="eastAsia" w:cs="宋体"/>
                <w:color w:val="auto"/>
                <w:sz w:val="22"/>
                <w:highlight w:val="none"/>
              </w:rPr>
              <w:t>投标人必须先在政府采购云平台进行登记注册，相关事宜请参照（《供应商网上注册操作指南》“浙江政府采购网首页-办事指南-注册-投标人注册申请”），登录政府采购云平台后台依法进行网上自主下载。</w:t>
            </w:r>
          </w:p>
          <w:p>
            <w:pPr>
              <w:pStyle w:val="36"/>
              <w:numPr>
                <w:ilvl w:val="0"/>
                <w:numId w:val="2"/>
              </w:numPr>
              <w:spacing w:line="360" w:lineRule="exact"/>
              <w:rPr>
                <w:rFonts w:cs="宋体"/>
                <w:color w:val="auto"/>
                <w:sz w:val="22"/>
                <w:highlight w:val="none"/>
              </w:rPr>
            </w:pPr>
            <w:r>
              <w:rPr>
                <w:rFonts w:hint="eastAsia" w:cs="宋体"/>
                <w:color w:val="auto"/>
                <w:sz w:val="22"/>
                <w:highlight w:val="none"/>
              </w:rPr>
              <w:t>本项目实行电子投标，应按照本项目招标文件和政采云平台的要求编制、加密并递交投标文件。投标人在使用系统进行投标的过程中遇到涉及平台使用的任何问题，可致电政采云平台技术支持热线咨询，联系方式：400-881-7190。</w:t>
            </w:r>
          </w:p>
          <w:p>
            <w:pPr>
              <w:pStyle w:val="36"/>
              <w:numPr>
                <w:ilvl w:val="0"/>
                <w:numId w:val="2"/>
              </w:numPr>
              <w:spacing w:line="360" w:lineRule="exact"/>
              <w:rPr>
                <w:rFonts w:cs="宋体"/>
                <w:color w:val="auto"/>
                <w:sz w:val="22"/>
                <w:highlight w:val="none"/>
              </w:rPr>
            </w:pPr>
            <w:r>
              <w:rPr>
                <w:rFonts w:hint="eastAsia" w:cs="宋体"/>
                <w:color w:val="auto"/>
                <w:sz w:val="22"/>
                <w:highlight w:val="none"/>
              </w:rPr>
              <w:t>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w:t>
            </w:r>
            <w:r>
              <w:rPr>
                <w:color w:val="auto"/>
                <w:highlight w:val="none"/>
              </w:rPr>
              <w:fldChar w:fldCharType="begin"/>
            </w:r>
            <w:r>
              <w:rPr>
                <w:color w:val="auto"/>
                <w:highlight w:val="none"/>
              </w:rPr>
              <w:instrText xml:space="preserve"> HYPERLINK "https://service.zcygov.cn/" \l "/knowledges/cm2eqWwBFdiHxlNd_otq/lwV6GXABiyELHE-oVMj3?keyword。" </w:instrText>
            </w:r>
            <w:r>
              <w:rPr>
                <w:color w:val="auto"/>
                <w:highlight w:val="none"/>
              </w:rPr>
              <w:fldChar w:fldCharType="separate"/>
            </w:r>
            <w:r>
              <w:rPr>
                <w:rStyle w:val="33"/>
                <w:rFonts w:hint="eastAsia" w:cs="宋体"/>
                <w:color w:val="auto"/>
                <w:sz w:val="22"/>
                <w:highlight w:val="none"/>
              </w:rPr>
              <w:t>https://service.zcygov.cn/#/knowledges/cm2eqWwBFdiHxlNd_otq/lwV6GXABiyELHE-oVMj3?keyword。</w:t>
            </w:r>
            <w:r>
              <w:rPr>
                <w:rStyle w:val="33"/>
                <w:rFonts w:hint="eastAsia" w:cs="宋体"/>
                <w:color w:val="auto"/>
                <w:sz w:val="22"/>
                <w:highlight w:val="none"/>
              </w:rPr>
              <w:fldChar w:fldCharType="end"/>
            </w:r>
          </w:p>
          <w:p>
            <w:pPr>
              <w:pStyle w:val="36"/>
              <w:numPr>
                <w:ilvl w:val="0"/>
                <w:numId w:val="2"/>
              </w:numPr>
              <w:spacing w:line="360" w:lineRule="exact"/>
              <w:rPr>
                <w:rFonts w:cs="宋体"/>
                <w:color w:val="auto"/>
                <w:sz w:val="22"/>
                <w:highlight w:val="none"/>
                <w:lang w:val="en-US"/>
              </w:rPr>
            </w:pPr>
            <w:r>
              <w:rPr>
                <w:rFonts w:hint="eastAsia" w:cs="宋体"/>
                <w:color w:val="auto"/>
                <w:sz w:val="22"/>
                <w:highlight w:val="none"/>
              </w:rPr>
              <w:t>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w:t>
            </w:r>
          </w:p>
          <w:p>
            <w:pPr>
              <w:pStyle w:val="36"/>
              <w:numPr>
                <w:ilvl w:val="0"/>
                <w:numId w:val="2"/>
              </w:numPr>
              <w:spacing w:line="360" w:lineRule="exact"/>
              <w:rPr>
                <w:rFonts w:cs="宋体"/>
                <w:b/>
                <w:color w:val="auto"/>
                <w:sz w:val="22"/>
                <w:highlight w:val="none"/>
                <w:lang w:val="en-US"/>
              </w:rPr>
            </w:pPr>
            <w:r>
              <w:rPr>
                <w:rFonts w:hint="eastAsia" w:cs="宋体"/>
                <w:color w:val="auto"/>
                <w:sz w:val="22"/>
                <w:highlight w:val="none"/>
              </w:rPr>
              <w:t>投标人可通过浙江省</w:t>
            </w:r>
            <w:r>
              <w:rPr>
                <w:rFonts w:hint="eastAsia" w:cs="宋体"/>
                <w:color w:val="auto"/>
                <w:sz w:val="22"/>
                <w:highlight w:val="none"/>
                <w:lang w:val="en-US"/>
              </w:rPr>
              <w:t>“</w:t>
            </w:r>
            <w:r>
              <w:rPr>
                <w:rFonts w:hint="eastAsia" w:cs="宋体"/>
                <w:color w:val="auto"/>
                <w:sz w:val="22"/>
                <w:highlight w:val="none"/>
              </w:rPr>
              <w:t>电子交易</w:t>
            </w:r>
            <w:r>
              <w:rPr>
                <w:rFonts w:hint="eastAsia" w:cs="宋体"/>
                <w:color w:val="auto"/>
                <w:sz w:val="22"/>
                <w:highlight w:val="none"/>
                <w:lang w:val="en-US"/>
              </w:rPr>
              <w:t>/</w:t>
            </w:r>
            <w:r>
              <w:rPr>
                <w:rFonts w:hint="eastAsia" w:cs="宋体"/>
                <w:color w:val="auto"/>
                <w:sz w:val="22"/>
                <w:highlight w:val="none"/>
              </w:rPr>
              <w:t>不见面开评标</w:t>
            </w:r>
            <w:r>
              <w:rPr>
                <w:rFonts w:hint="eastAsia" w:cs="宋体"/>
                <w:color w:val="auto"/>
                <w:sz w:val="22"/>
                <w:highlight w:val="none"/>
                <w:lang w:val="en-US"/>
              </w:rPr>
              <w:t>”</w:t>
            </w:r>
            <w:r>
              <w:rPr>
                <w:rFonts w:hint="eastAsia" w:cs="宋体"/>
                <w:color w:val="auto"/>
                <w:sz w:val="22"/>
                <w:highlight w:val="none"/>
              </w:rPr>
              <w:t>学习专题提前进行专题学习</w:t>
            </w:r>
            <w:r>
              <w:rPr>
                <w:rFonts w:hint="eastAsia" w:cs="宋体"/>
                <w:color w:val="auto"/>
                <w:sz w:val="22"/>
                <w:highlight w:val="none"/>
                <w:lang w:val="en-US"/>
              </w:rPr>
              <w:t>，</w:t>
            </w:r>
            <w:r>
              <w:rPr>
                <w:rFonts w:hint="eastAsia" w:cs="宋体"/>
                <w:color w:val="auto"/>
                <w:sz w:val="22"/>
                <w:highlight w:val="none"/>
              </w:rPr>
              <w:t>熟悉操作</w:t>
            </w:r>
            <w:r>
              <w:rPr>
                <w:rFonts w:hint="eastAsia" w:cs="宋体"/>
                <w:color w:val="auto"/>
                <w:sz w:val="22"/>
                <w:highlight w:val="none"/>
                <w:lang w:val="en-US"/>
              </w:rPr>
              <w:t>，</w:t>
            </w:r>
            <w:r>
              <w:rPr>
                <w:rFonts w:hint="eastAsia" w:cs="宋体"/>
                <w:color w:val="auto"/>
                <w:sz w:val="22"/>
                <w:highlight w:val="none"/>
              </w:rPr>
              <w:t>避免影响采购活动</w:t>
            </w:r>
            <w:r>
              <w:rPr>
                <w:rFonts w:hint="eastAsia" w:cs="宋体"/>
                <w:color w:val="auto"/>
                <w:sz w:val="22"/>
                <w:highlight w:val="none"/>
                <w:lang w:val="en-US"/>
              </w:rPr>
              <w:t>（https://edu.zcygov.cn/luban/e-biding）</w:t>
            </w:r>
            <w:r>
              <w:rPr>
                <w:rFonts w:hint="eastAsia" w:cs="宋体"/>
                <w:color w:val="auto"/>
                <w:sz w:val="22"/>
                <w:highlight w:val="none"/>
              </w:rPr>
              <w:t>。</w:t>
            </w:r>
            <w:r>
              <w:rPr>
                <w:rFonts w:hint="eastAsia" w:cs="宋体"/>
                <w:color w:val="auto"/>
                <w:sz w:val="22"/>
                <w:highlight w:val="none"/>
                <w:lang w:val="en-US"/>
              </w:rPr>
              <w:t> </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其它</w:t>
            </w:r>
          </w:p>
        </w:tc>
        <w:tc>
          <w:tcPr>
            <w:tcW w:w="7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1.公开招标公告属于本招标文件的一部分</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2.请务必确保投标文件制作客户端为最新版本，旧版本可能导致投标文件解密失败。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3.请务必确保投标文件制作时所用的 CA 锁与投标文件解密时的 CA 锁为同一把，否则可能导致投标文件解密失败。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4.在投标文件解密前，请务必检验 CA 锁与所用电脑的兼容性，部分电脑因 CA 驱动未正常安装、USB 接口兼容性差等原因可能造成投标文件解密失败。</w:t>
            </w:r>
          </w:p>
          <w:p>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5.投标人未按招标文件规定及提醒操作的，引起的一切后果由投标人自行负责。</w:t>
            </w:r>
          </w:p>
          <w:p>
            <w:pPr>
              <w:pStyle w:val="36"/>
              <w:spacing w:line="360" w:lineRule="exact"/>
              <w:rPr>
                <w:rFonts w:cs="宋体"/>
                <w:color w:val="auto"/>
                <w:sz w:val="22"/>
                <w:highlight w:val="none"/>
                <w:lang w:val="en-US"/>
              </w:rPr>
            </w:pPr>
            <w:r>
              <w:rPr>
                <w:rFonts w:hint="eastAsia" w:cs="宋体"/>
                <w:b/>
                <w:color w:val="auto"/>
                <w:sz w:val="22"/>
                <w:highlight w:val="none"/>
                <w:lang w:val="en-US"/>
              </w:rPr>
              <w:t>6.投标截止时间同</w:t>
            </w:r>
            <w:r>
              <w:rPr>
                <w:rStyle w:val="31"/>
                <w:rFonts w:hint="eastAsia" w:cs="宋体"/>
                <w:color w:val="auto"/>
                <w:sz w:val="22"/>
                <w:highlight w:val="none"/>
              </w:rPr>
              <w:t>提交投标文件截止时间。</w:t>
            </w:r>
          </w:p>
        </w:tc>
      </w:tr>
      <w:tr>
        <w:tblPrEx>
          <w:tblCellMar>
            <w:top w:w="0" w:type="dxa"/>
            <w:left w:w="108" w:type="dxa"/>
            <w:bottom w:w="0" w:type="dxa"/>
            <w:right w:w="108" w:type="dxa"/>
          </w:tblCellMar>
        </w:tblPrEx>
        <w:trPr>
          <w:trHeight w:val="56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30</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color w:val="auto"/>
                <w:sz w:val="22"/>
                <w:highlight w:val="none"/>
              </w:rPr>
            </w:pPr>
            <w:r>
              <w:rPr>
                <w:rFonts w:hint="eastAsia" w:ascii="宋体" w:hAnsi="宋体" w:cs="宋体"/>
                <w:snapToGrid w:val="0"/>
                <w:color w:val="auto"/>
                <w:sz w:val="22"/>
                <w:highlight w:val="none"/>
              </w:rPr>
              <w:t>采购人补充</w:t>
            </w:r>
          </w:p>
        </w:tc>
        <w:tc>
          <w:tcPr>
            <w:tcW w:w="7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cs="宋体"/>
                <w:color w:val="auto"/>
                <w:sz w:val="22"/>
                <w:highlight w:val="none"/>
              </w:rPr>
            </w:pPr>
            <w:r>
              <w:rPr>
                <w:rFonts w:hint="eastAsia" w:ascii="宋体" w:hAnsi="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bl>
    <w:p>
      <w:pPr>
        <w:spacing w:line="400" w:lineRule="exact"/>
        <w:jc w:val="center"/>
        <w:outlineLvl w:val="0"/>
        <w:rPr>
          <w:rFonts w:ascii="宋体" w:hAnsi="宋体" w:cs="宋体"/>
          <w:b/>
          <w:color w:val="auto"/>
          <w:sz w:val="28"/>
          <w:szCs w:val="28"/>
          <w:highlight w:val="none"/>
        </w:rPr>
      </w:pPr>
    </w:p>
    <w:p>
      <w:pPr>
        <w:spacing w:line="400" w:lineRule="exact"/>
        <w:jc w:val="center"/>
        <w:outlineLvl w:val="0"/>
        <w:rPr>
          <w:rFonts w:ascii="宋体" w:hAnsi="宋体" w:cs="宋体"/>
          <w:b/>
          <w:color w:val="auto"/>
          <w:sz w:val="28"/>
          <w:szCs w:val="28"/>
          <w:highlight w:val="none"/>
        </w:rPr>
      </w:pPr>
    </w:p>
    <w:p>
      <w:pPr>
        <w:spacing w:line="400" w:lineRule="exact"/>
        <w:jc w:val="center"/>
        <w:outlineLvl w:val="0"/>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rFonts w:ascii="宋体" w:hAnsi="宋体" w:cs="宋体"/>
          <w:b/>
          <w:color w:val="auto"/>
          <w:sz w:val="28"/>
          <w:szCs w:val="28"/>
          <w:highlight w:val="none"/>
        </w:rPr>
      </w:pPr>
    </w:p>
    <w:p>
      <w:pPr>
        <w:rPr>
          <w:rFonts w:ascii="宋体" w:hAnsi="宋体" w:cs="宋体"/>
          <w:b/>
          <w:color w:val="auto"/>
          <w:sz w:val="28"/>
          <w:szCs w:val="28"/>
          <w:highlight w:val="none"/>
        </w:rPr>
      </w:pPr>
    </w:p>
    <w:p>
      <w:pPr>
        <w:pStyle w:val="2"/>
        <w:rPr>
          <w:color w:val="auto"/>
          <w:highlight w:val="none"/>
        </w:rPr>
      </w:pPr>
    </w:p>
    <w:p>
      <w:pPr>
        <w:spacing w:line="400" w:lineRule="exact"/>
        <w:jc w:val="center"/>
        <w:outlineLvl w:val="0"/>
        <w:rPr>
          <w:rFonts w:ascii="宋体" w:hAnsi="宋体" w:cs="宋体"/>
          <w:b/>
          <w:color w:val="auto"/>
          <w:sz w:val="28"/>
          <w:szCs w:val="28"/>
          <w:highlight w:val="none"/>
        </w:rPr>
      </w:pPr>
    </w:p>
    <w:p>
      <w:pPr>
        <w:pStyle w:val="2"/>
        <w:rPr>
          <w:color w:val="auto"/>
          <w:highlight w:val="none"/>
        </w:rPr>
      </w:pPr>
    </w:p>
    <w:p>
      <w:pPr>
        <w:spacing w:line="400" w:lineRule="exact"/>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一、  说明</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pPr>
        <w:tabs>
          <w:tab w:val="left" w:pos="360"/>
        </w:tabs>
        <w:spacing w:line="360" w:lineRule="exact"/>
        <w:ind w:firstLine="440" w:firstLineChars="200"/>
        <w:rPr>
          <w:rFonts w:ascii="宋体" w:hAnsi="宋体" w:cs="宋体"/>
          <w:color w:val="auto"/>
          <w:kern w:val="0"/>
          <w:sz w:val="22"/>
          <w:highlight w:val="none"/>
          <w:lang w:val="zh-CN"/>
        </w:rPr>
      </w:pPr>
      <w:r>
        <w:rPr>
          <w:rFonts w:hint="eastAsia" w:ascii="宋体" w:hAnsi="宋体" w:cs="宋体"/>
          <w:color w:val="auto"/>
          <w:sz w:val="22"/>
          <w:highlight w:val="none"/>
        </w:rPr>
        <w:t>2.合格投标人</w:t>
      </w:r>
      <w:r>
        <w:rPr>
          <w:rFonts w:hint="eastAsia" w:ascii="宋体" w:hAnsi="宋体" w:cs="宋体"/>
          <w:color w:val="auto"/>
          <w:kern w:val="0"/>
          <w:sz w:val="22"/>
          <w:highlight w:val="none"/>
          <w:lang w:val="zh-CN"/>
        </w:rPr>
        <w:t>要求以招标公告及投标人须知前附表对投标人资格条件要求的表述为准。</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pPr>
        <w:spacing w:line="360" w:lineRule="exact"/>
        <w:ind w:firstLine="440" w:firstLineChars="200"/>
        <w:jc w:val="left"/>
        <w:rPr>
          <w:rFonts w:ascii="宋体" w:hAnsi="宋体" w:cs="宋体"/>
          <w:b/>
          <w:bCs/>
          <w:color w:val="auto"/>
          <w:sz w:val="22"/>
          <w:highlight w:val="none"/>
        </w:rPr>
      </w:pPr>
      <w:r>
        <w:rPr>
          <w:rFonts w:hint="eastAsia" w:ascii="宋体" w:hAnsi="宋体" w:cs="宋体"/>
          <w:color w:val="auto"/>
          <w:sz w:val="22"/>
          <w:highlight w:val="none"/>
        </w:rPr>
        <w:t>4.2中标人</w:t>
      </w:r>
      <w:r>
        <w:rPr>
          <w:rFonts w:hint="eastAsia" w:ascii="宋体" w:hAnsi="宋体" w:cs="宋体"/>
          <w:color w:val="auto"/>
          <w:spacing w:val="-6"/>
          <w:sz w:val="22"/>
          <w:highlight w:val="none"/>
        </w:rPr>
        <w:t>在收到中标通知书时向采购代理机构交纳采购代理服务费，收费标准（差额累进）：“</w:t>
      </w:r>
      <w:r>
        <w:rPr>
          <w:rFonts w:hint="eastAsia" w:ascii="宋体" w:hAnsi="宋体" w:cs="宋体"/>
          <w:b/>
          <w:bCs/>
          <w:color w:val="auto"/>
          <w:sz w:val="22"/>
          <w:highlight w:val="none"/>
        </w:rPr>
        <w:t>招标代理服务收费标准</w:t>
      </w:r>
      <w:r>
        <w:rPr>
          <w:rFonts w:hint="eastAsia" w:ascii="宋体" w:hAnsi="宋体" w:cs="宋体"/>
          <w:color w:val="auto"/>
          <w:spacing w:val="-6"/>
          <w:sz w:val="22"/>
          <w:highlight w:val="none"/>
        </w:rPr>
        <w:t>”</w:t>
      </w:r>
      <w:r>
        <w:rPr>
          <w:rFonts w:hint="eastAsia" w:ascii="宋体" w:hAnsi="宋体" w:cs="宋体"/>
          <w:b/>
          <w:bCs/>
          <w:color w:val="auto"/>
          <w:sz w:val="22"/>
          <w:highlight w:val="none"/>
        </w:rPr>
        <w:t>8折收取。</w:t>
      </w:r>
    </w:p>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招标代理服务收费标准</w:t>
      </w:r>
    </w:p>
    <w:tbl>
      <w:tblPr>
        <w:tblStyle w:val="28"/>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highlight w:val="none"/>
              </w:rPr>
              <mc:AlternateContent>
                <mc:Choice Requires="wpg">
                  <w:drawing>
                    <wp:anchor distT="0" distB="0" distL="114300" distR="114300" simplePos="0" relativeHeight="251664384" behindDoc="0" locked="0" layoutInCell="1" allowOverlap="1">
                      <wp:simplePos x="0" y="0"/>
                      <wp:positionH relativeFrom="column">
                        <wp:posOffset>-35560</wp:posOffset>
                      </wp:positionH>
                      <wp:positionV relativeFrom="paragraph">
                        <wp:posOffset>-6350</wp:posOffset>
                      </wp:positionV>
                      <wp:extent cx="1522730" cy="682625"/>
                      <wp:effectExtent l="0" t="0" r="0" b="0"/>
                      <wp:wrapNone/>
                      <wp:docPr id="8" name="组合 8"/>
                      <wp:cNvGraphicFramePr/>
                      <a:graphic xmlns:a="http://schemas.openxmlformats.org/drawingml/2006/main">
                        <a:graphicData uri="http://schemas.microsoft.com/office/word/2010/wordprocessingGroup">
                          <wpg:wgp>
                            <wpg:cNvGrpSpPr/>
                            <wpg:grpSpPr>
                              <a:xfrm>
                                <a:off x="0" y="0"/>
                                <a:ext cx="1522730" cy="682625"/>
                                <a:chOff x="11" y="23"/>
                                <a:chExt cx="24" cy="12992"/>
                              </a:xfrm>
                              <a:effectLst/>
                            </wpg:grpSpPr>
                            <wps:wsp>
                              <wps:cNvPr id="10" name="Line 8"/>
                              <wps:cNvCnPr>
                                <a:cxnSpLocks noChangeShapeType="1"/>
                              </wps:cNvCnPr>
                              <wps:spPr bwMode="auto">
                                <a:xfrm>
                                  <a:off x="11" y="26"/>
                                  <a:ext cx="24" cy="10"/>
                                </a:xfrm>
                                <a:prstGeom prst="line">
                                  <a:avLst/>
                                </a:prstGeom>
                                <a:noFill/>
                                <a:ln w="9525">
                                  <a:solidFill>
                                    <a:srgbClr val="000000"/>
                                  </a:solidFill>
                                  <a:round/>
                                </a:ln>
                                <a:effectLst/>
                              </wps:spPr>
                              <wps:bodyPr/>
                            </wps:wsp>
                            <wps:wsp>
                              <wps:cNvPr id="11" name="Line 9"/>
                              <wps:cNvCnPr>
                                <a:cxnSpLocks noChangeShapeType="1"/>
                              </wps:cNvCnPr>
                              <wps:spPr bwMode="auto">
                                <a:xfrm>
                                  <a:off x="20" y="23"/>
                                  <a:ext cx="15" cy="13"/>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2.8pt;margin-top:-0.5pt;height:53.75pt;width:119.9pt;z-index:251664384;mso-width-relative:page;mso-height-relative:page;" coordorigin="11,23" coordsize="24,12992" o:gfxdata="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NdxLXZAAAACQEAAA8AAAAAAAAAAQAgAAAAIgAAAGRycy9kb3ducmV2&#10;LnhtbFBLAQIUABQAAAAIAIdO4kCKZkrBbQIAALMGAAAOAAAAAAAAAAEAIAAAACgBAABkcnMvZTJv&#10;RG9jLnhtbFBLBQYAAAAABgAGAFkBAAAHBgAAAAA=&#10;">
                      <o:lock v:ext="edit" aspectratio="f"/>
                      <v:line id="Line 8" o:spid="_x0000_s1026" o:spt="20" style="position:absolute;left:11;top:26;height:10;width:2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 o:spid="_x0000_s1026" o:spt="20" style="position:absolute;left:20;top:23;height:13;width:15;"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ascii="宋体"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29210</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2.3pt;height:0pt;width:0.05pt;z-index:251663360;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AMONdUAAAAH&#10;AQAADwAAAAAAAAABACAAAAAiAAAAZHJzL2Rvd25yZXYueG1sUEsBAhQAFAAAAAgAh07iQJ72EvPm&#10;AQAAtA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color w:val="auto"/>
                <w:sz w:val="22"/>
                <w:highlight w:val="none"/>
              </w:rPr>
              <w:t xml:space="preserve">          服务类型</w:t>
            </w:r>
          </w:p>
          <w:p>
            <w:pPr>
              <w:spacing w:line="360" w:lineRule="exact"/>
              <w:ind w:firstLine="1011" w:firstLineChars="460"/>
              <w:rPr>
                <w:rFonts w:ascii="宋体" w:hAnsi="宋体" w:cs="宋体"/>
                <w:color w:val="auto"/>
                <w:sz w:val="22"/>
                <w:highlight w:val="none"/>
              </w:rPr>
            </w:pPr>
            <w:r>
              <w:rPr>
                <w:rFonts w:hint="eastAsia" w:ascii="宋体" w:hAnsi="宋体" w:cs="宋体"/>
                <w:color w:val="auto"/>
                <w:sz w:val="22"/>
                <w:highlight w:val="none"/>
              </w:rPr>
              <w:t>费率</w:t>
            </w:r>
          </w:p>
          <w:p>
            <w:pPr>
              <w:spacing w:line="360" w:lineRule="exact"/>
              <w:rPr>
                <w:rFonts w:ascii="宋体" w:hAnsi="宋体" w:cs="宋体"/>
                <w:color w:val="auto"/>
                <w:sz w:val="22"/>
                <w:highlight w:val="none"/>
              </w:rPr>
            </w:pPr>
            <w:r>
              <w:rPr>
                <w:rFonts w:hint="eastAsia" w:ascii="宋体" w:hAnsi="宋体" w:cs="宋体"/>
                <w:color w:val="auto"/>
                <w:sz w:val="22"/>
                <w:highlight w:val="none"/>
              </w:rPr>
              <w:t>中标金额（万元）</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货物招标</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服务招标</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100以下</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100-500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500-1000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0.8%</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0.45%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1000-5000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5000-10000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0.25%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10000-100000</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0.05%</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1000000以上</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0.01%</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85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highlight w:val="none"/>
              </w:rPr>
            </w:pPr>
            <w:r>
              <w:rPr>
                <w:rFonts w:hint="eastAsia" w:ascii="宋体" w:hAnsi="宋体" w:cs="宋体"/>
                <w:color w:val="auto"/>
                <w:sz w:val="22"/>
                <w:highlight w:val="none"/>
              </w:rPr>
              <w:t>不足3000元的按3000元收取</w:t>
            </w:r>
          </w:p>
        </w:tc>
      </w:tr>
    </w:tbl>
    <w:p>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注：本次采购为货物招标，招标代理服务收费按差额定率累进法计算。</w:t>
      </w:r>
    </w:p>
    <w:p>
      <w:pPr>
        <w:tabs>
          <w:tab w:val="left" w:pos="-180"/>
          <w:tab w:val="left" w:pos="180"/>
          <w:tab w:val="left" w:pos="360"/>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请各供应商将采购代理服务费包含在投标总报价中。</w:t>
      </w:r>
      <w:r>
        <w:rPr>
          <w:rFonts w:hint="eastAsia" w:ascii="宋体" w:hAnsi="宋体" w:cs="宋体"/>
          <w:color w:val="auto"/>
          <w:sz w:val="22"/>
          <w:highlight w:val="none"/>
        </w:rPr>
        <w:t>采购代理服务费可以是现金、支票或汇票。</w:t>
      </w:r>
    </w:p>
    <w:p>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5.1.信用信息查询的截止时点为从本项目投标截止日往前追溯三年；</w:t>
      </w:r>
    </w:p>
    <w:p>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rFonts w:hint="eastAsia"/>
          <w:color w:val="auto"/>
          <w:highlight w:val="none"/>
        </w:rPr>
        <w:fldChar w:fldCharType="begin"/>
      </w:r>
      <w:r>
        <w:rPr>
          <w:color w:val="auto"/>
          <w:highlight w:val="none"/>
        </w:rPr>
        <w:instrText xml:space="preserve"> HYPERLINK "https://www.creditchina.gov.cn/" </w:instrText>
      </w:r>
      <w:r>
        <w:rPr>
          <w:rFonts w:hint="eastAsia"/>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rFonts w:hint="eastAsia"/>
          <w:color w:val="auto"/>
          <w:highlight w:val="none"/>
        </w:rPr>
        <w:fldChar w:fldCharType="begin"/>
      </w:r>
      <w:r>
        <w:rPr>
          <w:color w:val="auto"/>
          <w:highlight w:val="none"/>
        </w:rPr>
        <w:instrText xml:space="preserve"> HYPERLINK "http://www.ccgp.gov.cn/" </w:instrText>
      </w:r>
      <w:r>
        <w:rPr>
          <w:rFonts w:hint="eastAsia"/>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kinsoku/>
        <w:wordWrap/>
        <w:overflowPunct/>
        <w:topLinePunct w:val="0"/>
        <w:autoSpaceDE/>
        <w:autoSpaceDN/>
        <w:bidi w:val="0"/>
        <w:adjustRightInd/>
        <w:spacing w:line="360" w:lineRule="exact"/>
        <w:ind w:firstLine="466" w:firstLineChars="200"/>
        <w:textAlignment w:val="auto"/>
        <w:rPr>
          <w:rFonts w:hint="eastAsia" w:ascii="宋体" w:hAnsi="宋体" w:eastAsia="宋体" w:cs="宋体"/>
          <w:b/>
          <w:bCs/>
          <w:color w:val="auto"/>
          <w:spacing w:val="6"/>
          <w:sz w:val="22"/>
          <w:szCs w:val="22"/>
          <w:highlight w:val="none"/>
        </w:rPr>
      </w:pPr>
      <w:r>
        <w:rPr>
          <w:rFonts w:hint="eastAsia" w:ascii="宋体" w:hAnsi="宋体" w:cs="宋体"/>
          <w:b/>
          <w:bCs/>
          <w:color w:val="auto"/>
          <w:spacing w:val="6"/>
          <w:sz w:val="22"/>
          <w:highlight w:val="none"/>
        </w:rPr>
        <w:t>6.3单位负责人为同一人或者存在</w:t>
      </w:r>
      <w:r>
        <w:rPr>
          <w:rFonts w:hint="eastAsia" w:ascii="宋体" w:hAnsi="宋体" w:eastAsia="宋体" w:cs="宋体"/>
          <w:b/>
          <w:bCs/>
          <w:color w:val="auto"/>
          <w:spacing w:val="6"/>
          <w:sz w:val="22"/>
          <w:szCs w:val="22"/>
          <w:highlight w:val="none"/>
        </w:rPr>
        <w:t>直接控股、管理关系的不同投标人，不得参加同一合同项下的政府采购活动。为采购项目提供整体设计、规范编制或者项目管理、监理、检测等服务的投标人，不得再参加该采购项目的其他采购活动。</w:t>
      </w:r>
    </w:p>
    <w:p>
      <w:pPr>
        <w:keepNext w:val="0"/>
        <w:keepLines w:val="0"/>
        <w:pageBreakBefore w:val="0"/>
        <w:kinsoku/>
        <w:wordWrap/>
        <w:overflowPunct/>
        <w:topLinePunct w:val="0"/>
        <w:autoSpaceDE/>
        <w:autoSpaceDN/>
        <w:bidi w:val="0"/>
        <w:adjustRightInd/>
        <w:spacing w:line="360" w:lineRule="exact"/>
        <w:ind w:firstLine="466" w:firstLineChars="200"/>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6.4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keepNext w:val="0"/>
        <w:keepLines w:val="0"/>
        <w:pageBreakBefore w:val="0"/>
        <w:kinsoku/>
        <w:wordWrap/>
        <w:overflowPunct/>
        <w:topLinePunct w:val="0"/>
        <w:autoSpaceDE/>
        <w:autoSpaceDN/>
        <w:bidi w:val="0"/>
        <w:adjustRightInd/>
        <w:spacing w:line="360" w:lineRule="exact"/>
        <w:ind w:firstLine="442" w:firstLineChars="200"/>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7.</w:t>
      </w:r>
      <w:r>
        <w:rPr>
          <w:rFonts w:hint="eastAsia" w:ascii="宋体" w:hAnsi="宋体" w:eastAsia="宋体" w:cs="宋体"/>
          <w:b/>
          <w:color w:val="auto"/>
          <w:sz w:val="22"/>
          <w:szCs w:val="22"/>
          <w:highlight w:val="none"/>
        </w:rPr>
        <w:t>采购项目需要落实的政府采购政策</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 支持绿色发展</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val="0"/>
          <w:bCs w:val="0"/>
          <w:color w:val="auto"/>
          <w:sz w:val="22"/>
          <w:szCs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.2.2 修缮、装修类项目采购建材的，采购人应将绿色建筑和绿色建材性能、指标等作为实质性条件纳入招标文件和合同。</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.3支持中小企业发展</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val="0"/>
        <w:spacing w:line="360" w:lineRule="exact"/>
        <w:ind w:firstLine="442" w:firstLineChars="201"/>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.3.2</w:t>
      </w:r>
      <w:r>
        <w:rPr>
          <w:rFonts w:hint="eastAsia" w:ascii="宋体" w:hAnsi="宋体" w:eastAsia="宋体" w:cs="宋体"/>
          <w:color w:val="auto"/>
          <w:kern w:val="0"/>
          <w:sz w:val="22"/>
          <w:szCs w:val="22"/>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val="0"/>
        <w:spacing w:line="360" w:lineRule="exact"/>
        <w:ind w:firstLine="442" w:firstLineChars="201"/>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val="0"/>
        <w:spacing w:line="360" w:lineRule="exact"/>
        <w:ind w:firstLine="442" w:firstLineChars="201"/>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val="0"/>
        <w:spacing w:line="360" w:lineRule="exact"/>
        <w:ind w:firstLine="442" w:firstLineChars="201"/>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val="0"/>
        <w:spacing w:line="360" w:lineRule="exact"/>
        <w:ind w:firstLine="442" w:firstLineChars="201"/>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val="0"/>
        <w:spacing w:line="360" w:lineRule="exact"/>
        <w:ind w:firstLine="442" w:firstLineChars="201"/>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default" w:ascii="宋体" w:hAnsi="宋体" w:eastAsia="宋体" w:cs="宋体"/>
          <w:color w:val="auto"/>
          <w:sz w:val="22"/>
          <w:szCs w:val="22"/>
          <w:highlight w:val="none"/>
        </w:rPr>
        <w:t>6%</w:t>
      </w:r>
      <w:r>
        <w:rPr>
          <w:rFonts w:hint="eastAsia" w:ascii="宋体" w:hAnsi="宋体" w:eastAsia="宋体" w:cs="宋体"/>
          <w:color w:val="auto"/>
          <w:sz w:val="22"/>
          <w:szCs w:val="22"/>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.3.4符合《关于促进残疾人就业政府采购政策的通知》（财库〔2017〕141号）规定的条件并提供《残疾人福利性单位声明函》（附件）的残疾人福利性单位视同小型、微型企业；</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.4</w:t>
      </w:r>
      <w:r>
        <w:rPr>
          <w:rFonts w:hint="eastAsia" w:ascii="宋体" w:hAnsi="宋体" w:eastAsia="宋体" w:cs="宋体"/>
          <w:bCs/>
          <w:color w:val="auto"/>
          <w:sz w:val="22"/>
          <w:szCs w:val="22"/>
          <w:highlight w:val="none"/>
        </w:rPr>
        <w:t>支持创新发展</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default"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default" w:ascii="宋体" w:hAnsi="宋体" w:eastAsia="宋体" w:cs="宋体"/>
          <w:color w:val="auto"/>
          <w:sz w:val="22"/>
          <w:szCs w:val="22"/>
          <w:highlight w:val="none"/>
        </w:rPr>
        <w:t>.4.1采购人优先采购被认定为首台套产品和“制造精品”的自主创新产品。</w:t>
      </w:r>
    </w:p>
    <w:p>
      <w:pPr>
        <w:keepNext w:val="0"/>
        <w:keepLines w:val="0"/>
        <w:pageBreakBefore w:val="0"/>
        <w:kinsoku/>
        <w:wordWrap/>
        <w:overflowPunct/>
        <w:topLinePunct w:val="0"/>
        <w:autoSpaceDE/>
        <w:autoSpaceDN/>
        <w:bidi w:val="0"/>
        <w:adjustRightInd/>
        <w:snapToGrid w:val="0"/>
        <w:spacing w:line="360" w:lineRule="exact"/>
        <w:ind w:firstLine="442" w:firstLineChars="201"/>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r>
        <w:rPr>
          <w:rFonts w:hint="default" w:ascii="宋体" w:hAnsi="宋体" w:eastAsia="宋体" w:cs="宋体"/>
          <w:color w:val="auto"/>
          <w:sz w:val="22"/>
          <w:szCs w:val="22"/>
          <w:highlight w:val="none"/>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eastAsia="宋体" w:cs="宋体"/>
          <w:color w:val="auto"/>
          <w:sz w:val="22"/>
          <w:szCs w:val="22"/>
          <w:highlight w:val="none"/>
          <w:lang w:eastAsia="zh-CN"/>
        </w:rPr>
        <w:t>。</w:t>
      </w:r>
    </w:p>
    <w:p>
      <w:pPr>
        <w:spacing w:line="400" w:lineRule="exact"/>
        <w:ind w:firstLine="522" w:firstLineChars="200"/>
        <w:jc w:val="center"/>
        <w:rPr>
          <w:rFonts w:ascii="宋体" w:hAnsi="宋体" w:cs="宋体"/>
          <w:b/>
          <w:color w:val="auto"/>
          <w:sz w:val="26"/>
          <w:highlight w:val="none"/>
        </w:rPr>
      </w:pPr>
      <w:r>
        <w:rPr>
          <w:rFonts w:hint="eastAsia" w:ascii="宋体" w:hAnsi="宋体" w:cs="宋体"/>
          <w:b/>
          <w:color w:val="auto"/>
          <w:sz w:val="26"/>
          <w:highlight w:val="none"/>
        </w:rPr>
        <w:t>二、招标文件</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pPr>
        <w:spacing w:line="360" w:lineRule="exact"/>
        <w:ind w:firstLine="440" w:firstLineChars="200"/>
        <w:outlineLvl w:val="0"/>
        <w:rPr>
          <w:rFonts w:ascii="宋体" w:hAnsi="宋体" w:cs="宋体"/>
          <w:color w:val="auto"/>
          <w:sz w:val="22"/>
          <w:highlight w:val="none"/>
        </w:rPr>
      </w:pPr>
      <w:r>
        <w:rPr>
          <w:rFonts w:hint="eastAsia" w:ascii="宋体" w:hAnsi="宋体" w:cs="宋体"/>
          <w:color w:val="auto"/>
          <w:sz w:val="22"/>
          <w:highlight w:val="none"/>
        </w:rPr>
        <w:t>2.质疑</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（一）投标人的姓名或者名称、地址、邮编、联系人及联系方式；</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3.投诉</w:t>
      </w:r>
    </w:p>
    <w:p>
      <w:pPr>
        <w:spacing w:line="360" w:lineRule="exact"/>
        <w:ind w:firstLine="464" w:firstLineChars="200"/>
        <w:outlineLvl w:val="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1"/>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形式（签署意见并加盖投标人公章）向采购代理机构回函给予确认。若无书面回函确认，视为默认接受。</w:t>
      </w:r>
      <w:r>
        <w:rPr>
          <w:rFonts w:hint="eastAsia" w:ascii="宋体" w:hAnsi="宋体" w:cs="宋体"/>
          <w:color w:val="auto"/>
          <w:spacing w:val="6"/>
          <w:sz w:val="22"/>
          <w:highlight w:val="none"/>
        </w:rPr>
        <w:t>澄清或者修改的内容为招标文件的组成部分。</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澄清或者修改的内容可能影响投标文件编制的，采购人或者采购代理机构应当在投标截止时间至少15日前，以书面形式（</w:t>
      </w:r>
      <w:r>
        <w:rPr>
          <w:rStyle w:val="31"/>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color w:val="auto"/>
          <w:sz w:val="22"/>
          <w:highlight w:val="none"/>
        </w:rPr>
      </w:pPr>
      <w:r>
        <w:rPr>
          <w:rFonts w:hint="eastAsia" w:ascii="宋体" w:hAnsi="宋体" w:cs="宋体"/>
          <w:b/>
          <w:color w:val="auto"/>
          <w:sz w:val="26"/>
          <w:highlight w:val="none"/>
        </w:rPr>
        <w:t>三、 投标文件的编制</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pPr>
        <w:pStyle w:val="15"/>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投标文件分为电子投标文件以及备份电子投标文件，备份文件为以介质存储的数据电文形式的备份电子投标文件。</w:t>
      </w:r>
    </w:p>
    <w:p>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1.2以介质存储的数据电文形式的备份电子投标文件：</w:t>
      </w:r>
      <w:r>
        <w:rPr>
          <w:rStyle w:val="31"/>
          <w:rFonts w:hint="eastAsia" w:ascii="宋体" w:hAnsi="宋体" w:cs="宋体"/>
          <w:bCs/>
          <w:color w:val="auto"/>
          <w:sz w:val="22"/>
          <w:highlight w:val="none"/>
        </w:rPr>
        <w:t>与“电子投标文件”同时生成的数据电文形式的备份电子投标文件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传送的备份电子投标文件需打包压缩并加密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1"/>
          <w:rFonts w:hint="eastAsia" w:ascii="宋体" w:hAnsi="宋体" w:cs="宋体"/>
          <w:bCs/>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投标文件的启用，按先后顺位分别为电子投标文件、以介质存储的数据电文形式的备份电子投标文件。在下一顺位的投标文件启用时，前一顺位的投标文件自动失效。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pPr>
        <w:spacing w:line="360" w:lineRule="exact"/>
        <w:ind w:firstLine="442" w:firstLineChars="200"/>
        <w:outlineLvl w:val="0"/>
        <w:rPr>
          <w:rFonts w:ascii="宋体" w:hAnsi="宋体" w:cs="宋体"/>
          <w:b/>
          <w:bCs/>
          <w:color w:val="auto"/>
          <w:sz w:val="22"/>
          <w:highlight w:val="none"/>
        </w:rPr>
      </w:pPr>
      <w:r>
        <w:rPr>
          <w:rFonts w:hint="eastAsia" w:ascii="宋体" w:hAnsi="宋体" w:cs="宋体"/>
          <w:b/>
          <w:bCs/>
          <w:color w:val="auto"/>
          <w:sz w:val="22"/>
          <w:highlight w:val="none"/>
        </w:rPr>
        <w:t>（1）报价文件</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3）小微企业证明材料（非小微企业不用提供）；（见附件3）</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4）投标报价部分其他内容（如有，格式自拟）。</w:t>
      </w:r>
    </w:p>
    <w:p>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（2）资格文件：（见附件4）</w:t>
      </w:r>
    </w:p>
    <w:p>
      <w:pPr>
        <w:autoSpaceDE w:val="0"/>
        <w:autoSpaceDN w:val="0"/>
        <w:adjustRightInd w:val="0"/>
        <w:snapToGrid w:val="0"/>
        <w:spacing w:line="360" w:lineRule="exact"/>
        <w:ind w:left="400"/>
        <w:textAlignment w:val="bottom"/>
        <w:rPr>
          <w:rFonts w:ascii="宋体" w:hAnsi="宋体" w:cs="宋体"/>
          <w:b/>
          <w:bCs/>
          <w:snapToGrid w:val="0"/>
          <w:color w:val="auto"/>
          <w:sz w:val="22"/>
          <w:highlight w:val="none"/>
        </w:rPr>
      </w:pPr>
      <w:r>
        <w:rPr>
          <w:rFonts w:hint="eastAsia" w:ascii="宋体" w:hAnsi="宋体" w:cs="宋体"/>
          <w:b/>
          <w:bCs/>
          <w:color w:val="auto"/>
          <w:spacing w:val="-6"/>
          <w:sz w:val="22"/>
          <w:highlight w:val="none"/>
        </w:rPr>
        <w:t>1）</w:t>
      </w:r>
      <w:r>
        <w:rPr>
          <w:rFonts w:hint="eastAsia" w:ascii="宋体" w:hAnsi="宋体" w:cs="宋体"/>
          <w:b/>
          <w:bCs/>
          <w:snapToGrid w:val="0"/>
          <w:color w:val="auto"/>
          <w:sz w:val="22"/>
          <w:highlight w:val="none"/>
        </w:rPr>
        <w:t>有效的法人或者其他组织的营业执照等证明文件，自然人的身份证明（五选一）</w:t>
      </w:r>
      <w:r>
        <w:rPr>
          <w:rFonts w:hint="eastAsia" w:ascii="宋体" w:hAnsi="宋体" w:cs="宋体"/>
          <w:b/>
          <w:bCs/>
          <w:color w:val="auto"/>
          <w:sz w:val="22"/>
          <w:highlight w:val="none"/>
        </w:rPr>
        <w:t>（见附件4-1）</w:t>
      </w:r>
    </w:p>
    <w:p>
      <w:pPr>
        <w:autoSpaceDE w:val="0"/>
        <w:autoSpaceDN w:val="0"/>
        <w:adjustRightInd w:val="0"/>
        <w:spacing w:line="360" w:lineRule="exact"/>
        <w:ind w:left="400"/>
        <w:rPr>
          <w:rFonts w:ascii="宋体" w:hAnsi="宋体" w:cs="宋体"/>
          <w:b/>
          <w:bCs/>
          <w:color w:val="auto"/>
          <w:sz w:val="22"/>
          <w:highlight w:val="none"/>
        </w:rPr>
      </w:pPr>
      <w:r>
        <w:rPr>
          <w:rFonts w:hint="eastAsia" w:ascii="宋体" w:hAnsi="宋体" w:cs="宋体"/>
          <w:b/>
          <w:bCs/>
          <w:color w:val="auto"/>
          <w:spacing w:val="-6"/>
          <w:sz w:val="22"/>
          <w:highlight w:val="none"/>
        </w:rPr>
        <w:t>2）</w:t>
      </w:r>
      <w:r>
        <w:rPr>
          <w:rFonts w:hint="eastAsia" w:ascii="宋体" w:hAnsi="宋体" w:cs="宋体"/>
          <w:b/>
          <w:bCs/>
          <w:snapToGrid w:val="0"/>
          <w:color w:val="auto"/>
          <w:sz w:val="22"/>
          <w:highlight w:val="none"/>
        </w:rPr>
        <w:t>关于符合《中华人民共和国政府采购法》第二十二条规定的承诺函</w:t>
      </w:r>
      <w:r>
        <w:rPr>
          <w:rFonts w:hint="eastAsia" w:ascii="宋体" w:hAnsi="宋体" w:cs="宋体"/>
          <w:b/>
          <w:bCs/>
          <w:color w:val="auto"/>
          <w:sz w:val="22"/>
          <w:highlight w:val="none"/>
        </w:rPr>
        <w:t>（见附件4-2）</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pPr>
        <w:tabs>
          <w:tab w:val="left" w:pos="5355"/>
        </w:tabs>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1）评分索引表（见附件5）</w:t>
      </w:r>
    </w:p>
    <w:p>
      <w:pPr>
        <w:tabs>
          <w:tab w:val="left" w:pos="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2）投标函（见附件6）</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3）法定代表人资格证明书/法定代表人授权委托书；（见附件7）</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4）投标声明书（见附件8）  </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5）投标人基本情况表（见附件9）                </w:t>
      </w:r>
    </w:p>
    <w:p>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6）节能、环保产品证明材料（如有）（见附件10）；</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7）投标人同类项目业绩一览表（如有）（见附件11）；</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8）采购需求偏离表（见附件12）；</w:t>
      </w:r>
    </w:p>
    <w:p>
      <w:pPr>
        <w:spacing w:line="360" w:lineRule="exact"/>
        <w:ind w:firstLine="440" w:firstLineChars="200"/>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9）</w:t>
      </w:r>
      <w:r>
        <w:rPr>
          <w:rFonts w:hint="eastAsia" w:ascii="宋体" w:hAnsi="宋体" w:cs="宋体"/>
          <w:color w:val="auto"/>
          <w:sz w:val="22"/>
          <w:highlight w:val="none"/>
          <w:lang w:val="en-US" w:eastAsia="zh-CN"/>
        </w:rPr>
        <w:t>承诺书</w:t>
      </w:r>
      <w:r>
        <w:rPr>
          <w:rFonts w:hint="eastAsia" w:ascii="宋体" w:hAnsi="宋体" w:cs="宋体"/>
          <w:color w:val="auto"/>
          <w:sz w:val="22"/>
          <w:highlight w:val="none"/>
        </w:rPr>
        <w:t>（见附件13）；</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10）货物配置清单（见附件14）；</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）常用材料、零配件报价清单（见附件15）；</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）投标产品技术支持材料（见附件16）；</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）政府采购活动现场确认声明书（见附件1</w:t>
      </w:r>
      <w:r>
        <w:rPr>
          <w:rFonts w:hint="eastAsia" w:ascii="宋体" w:hAnsi="宋体" w:cs="宋体"/>
          <w:color w:val="auto"/>
          <w:sz w:val="22"/>
          <w:highlight w:val="none"/>
          <w:lang w:val="en-US" w:eastAsia="zh-CN"/>
        </w:rPr>
        <w:t>7</w:t>
      </w:r>
      <w:r>
        <w:rPr>
          <w:rFonts w:hint="eastAsia" w:ascii="宋体" w:hAnsi="宋体" w:cs="宋体"/>
          <w:color w:val="auto"/>
          <w:sz w:val="22"/>
          <w:highlight w:val="none"/>
        </w:rPr>
        <w:t>）；</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）投标人需要说明的其他文件和说明（格式自拟）。</w:t>
      </w:r>
    </w:p>
    <w:p>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投标人可在招标文件中对招标货物的技术规格和要求选用替代标准，但这些替代标准必须相等于或优于招标文件中提出的相应要求，并使采购人满意。同时在采购需求偏离表中作出详细说明。</w:t>
      </w:r>
    </w:p>
    <w:p>
      <w:pPr>
        <w:pStyle w:val="15"/>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5"/>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6.2由于未按招标文件的规定要求编制投标文件，导致评标委员会作出的对投标人的误判，责任由投标人自己承担。</w:t>
      </w:r>
    </w:p>
    <w:p>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pPr>
        <w:tabs>
          <w:tab w:val="left" w:pos="-180"/>
          <w:tab w:val="left" w:pos="180"/>
          <w:tab w:val="left" w:pos="360"/>
        </w:tabs>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7.1投标总报价是指投标人在正确地完全履行合同义务后采购人应支付给投标人所有的货物价款，即货物的供货、包装、运输、装卸、安装调试、验收（含第三方验收）、质保期内软件升级、采购代理服务费、售后服务、材料税费、搬运费、税费以及完成合同所需的一切本身和不可或缺的所有工作开支、政策性文件规定，合同包含的所有风险、责任等相关各项其他可能产生的全部费用。实行固定费用总包干，投标人应根据上述因素自行考虑含入投标总价。</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7.2投标人须按第四部分附件的开标一览表（统一格式）、投标报价明细表（统一格式）的内容填写产品单价、合价及其他事项，并由法定代表人或授权代表签字或盖章。</w:t>
      </w:r>
    </w:p>
    <w:p>
      <w:pPr>
        <w:tabs>
          <w:tab w:val="left" w:pos="-180"/>
          <w:tab w:val="left" w:pos="180"/>
          <w:tab w:val="left" w:pos="360"/>
        </w:tabs>
        <w:spacing w:line="360" w:lineRule="exact"/>
        <w:ind w:firstLine="442" w:firstLineChars="200"/>
        <w:outlineLvl w:val="0"/>
        <w:rPr>
          <w:rFonts w:ascii="宋体" w:hAnsi="宋体" w:cs="宋体"/>
          <w:b/>
          <w:color w:val="auto"/>
          <w:sz w:val="22"/>
          <w:highlight w:val="none"/>
        </w:rPr>
      </w:pPr>
      <w:r>
        <w:rPr>
          <w:rFonts w:hint="eastAsia" w:ascii="宋体" w:hAnsi="宋体" w:cs="宋体"/>
          <w:b/>
          <w:color w:val="auto"/>
          <w:sz w:val="22"/>
          <w:highlight w:val="none"/>
        </w:rPr>
        <w:t>7.3报价货币为人民币。</w:t>
      </w:r>
    </w:p>
    <w:p>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▲7.4采购人不接受任何选择报价，对每一种货物只允许一个报价。</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7.5采购人要求分类报价是为了方便评标，但在任何情况下不限制采购人以其认为最合适的条款、条件签订合同的权利。</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7.6最低报价不能作为中标的保证。</w:t>
      </w:r>
    </w:p>
    <w:p>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10.2投标文件须由投标人在规定位置加盖公章并由投标人代表签署，投标人应写全称。</w:t>
      </w:r>
    </w:p>
    <w:p>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10.3投标文件不得涂改，若有修改错漏处，须由投标人代表签字并加盖投标人公章。投标文件因字迹潦草或表达不清所引起的后果由投标人负责。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pPr>
        <w:spacing w:line="400" w:lineRule="exact"/>
        <w:jc w:val="center"/>
        <w:outlineLvl w:val="0"/>
        <w:rPr>
          <w:rFonts w:ascii="宋体" w:hAnsi="宋体" w:cs="宋体"/>
          <w:color w:val="auto"/>
          <w:sz w:val="22"/>
          <w:highlight w:val="none"/>
        </w:rPr>
      </w:pPr>
      <w:r>
        <w:rPr>
          <w:rFonts w:hint="eastAsia" w:ascii="宋体" w:hAnsi="宋体" w:cs="宋体"/>
          <w:b/>
          <w:color w:val="auto"/>
          <w:sz w:val="26"/>
          <w:highlight w:val="none"/>
        </w:rPr>
        <w:t>四、 投标文件的递交</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备份电子投标文件的加密、递交（如有）</w:t>
      </w:r>
    </w:p>
    <w:p>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投标人在政府采购云平台完成加密电子投标文件的上传后投标截止时间前将</w:t>
      </w:r>
      <w:r>
        <w:rPr>
          <w:rFonts w:hint="eastAsia" w:ascii="宋体" w:hAnsi="宋体" w:cs="宋体"/>
          <w:b/>
          <w:bCs/>
          <w:color w:val="auto"/>
          <w:sz w:val="22"/>
          <w:highlight w:val="none"/>
        </w:rPr>
        <w:t>以介质存储的数据电文形式的备份电子投标文件按“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pPr>
        <w:pStyle w:val="15"/>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介质存储的数据电文形式的备份电子投标文件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▲投标人递交的介质存储的数据电文形式的备份电子投标文件时，如出现下列情况之一的，视为无效备份电子投标文件：</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（1）超过投标截止时间送达的；</w:t>
      </w:r>
    </w:p>
    <w:p>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3.投标文件的修改和撤回</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3.2在投标截止时间之后，投标人不得对其投标做任何修改。</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3.3从投标截止时间至投标人在投标书格式中确定的投标有效期期满这段时间内，投标人不得撤回其投标。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ascii="宋体" w:hAnsi="宋体" w:cs="宋体"/>
          <w:b/>
          <w:color w:val="auto"/>
          <w:sz w:val="26"/>
          <w:highlight w:val="none"/>
        </w:rPr>
      </w:pPr>
      <w:r>
        <w:rPr>
          <w:rFonts w:hint="eastAsia" w:ascii="宋体" w:hAnsi="宋体" w:cs="宋体"/>
          <w:b/>
          <w:color w:val="auto"/>
          <w:sz w:val="26"/>
          <w:highlight w:val="none"/>
        </w:rPr>
        <w:t>五、 开标和评标</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1.评标委员会</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采购人依法组建评标委员会。评标委员会的成员在评标过程中必须严格遵守《中华人民共和国政府采购法》等有关法律、法规的规定。</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2.1开标后直至向中标人授予合同时止，凡与评审有关的资料均不得向投标人及与评标无关人员透漏。如果投标人在评标过程中试图向采购人和采购人施加影响，其投标将被拒绝。</w:t>
      </w:r>
    </w:p>
    <w:p>
      <w:pPr>
        <w:spacing w:line="360" w:lineRule="exact"/>
        <w:rPr>
          <w:rFonts w:ascii="宋体" w:hAnsi="宋体" w:cs="宋体"/>
          <w:color w:val="auto"/>
          <w:sz w:val="22"/>
          <w:highlight w:val="none"/>
        </w:rPr>
      </w:pPr>
      <w:r>
        <w:rPr>
          <w:rFonts w:hint="eastAsia" w:ascii="宋体" w:hAnsi="宋体" w:cs="宋体"/>
          <w:color w:val="auto"/>
          <w:sz w:val="22"/>
          <w:highlight w:val="none"/>
        </w:rPr>
        <w:t>3.开标</w:t>
      </w:r>
    </w:p>
    <w:p>
      <w:pPr>
        <w:pStyle w:val="44"/>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pPr>
        <w:pStyle w:val="44"/>
        <w:snapToGrid w:val="0"/>
        <w:spacing w:line="360" w:lineRule="exact"/>
        <w:ind w:firstLine="440" w:firstLineChars="200"/>
        <w:rPr>
          <w:color w:val="auto"/>
          <w:sz w:val="22"/>
          <w:highlight w:val="none"/>
        </w:rPr>
      </w:pPr>
      <w:r>
        <w:rPr>
          <w:rFonts w:hint="eastAsia"/>
          <w:color w:val="auto"/>
          <w:sz w:val="22"/>
          <w:highlight w:val="none"/>
        </w:rPr>
        <w:t>3.1开标准备</w:t>
      </w:r>
    </w:p>
    <w:p>
      <w:pPr>
        <w:pStyle w:val="44"/>
        <w:snapToGrid w:val="0"/>
        <w:spacing w:line="360" w:lineRule="exact"/>
        <w:ind w:firstLine="440" w:firstLineChars="200"/>
        <w:rPr>
          <w:color w:val="auto"/>
          <w:sz w:val="22"/>
          <w:highlight w:val="none"/>
        </w:rPr>
      </w:pPr>
      <w:r>
        <w:rPr>
          <w:rFonts w:hint="eastAsia"/>
          <w:color w:val="auto"/>
          <w:sz w:val="22"/>
          <w:highlight w:val="none"/>
        </w:rPr>
        <w:t>①制订开标、评审工作的组织方案，落实工作场地、设施，检查录音录像采集设备运行情况。采用电子评审方式的，验证电子评审系统是否正常运行。</w:t>
      </w:r>
    </w:p>
    <w:p>
      <w:pPr>
        <w:pStyle w:val="44"/>
        <w:snapToGrid w:val="0"/>
        <w:spacing w:line="360" w:lineRule="exact"/>
        <w:ind w:firstLine="440" w:firstLineChars="200"/>
        <w:rPr>
          <w:color w:val="auto"/>
          <w:sz w:val="22"/>
          <w:highlight w:val="none"/>
        </w:rPr>
      </w:pPr>
      <w:r>
        <w:rPr>
          <w:rFonts w:hint="eastAsia"/>
          <w:color w:val="auto"/>
          <w:sz w:val="22"/>
          <w:highlight w:val="none"/>
        </w:rPr>
        <w:t>②通知或邀请相关单位和人员出席开标、评审活动（按规定由相关监管部门或其授权机构随机抽取、通知的政府采购评审专家除外）。</w:t>
      </w:r>
    </w:p>
    <w:p>
      <w:pPr>
        <w:pStyle w:val="44"/>
        <w:snapToGrid w:val="0"/>
        <w:spacing w:line="360" w:lineRule="exact"/>
        <w:ind w:firstLine="440" w:firstLineChars="200"/>
        <w:rPr>
          <w:color w:val="auto"/>
          <w:sz w:val="22"/>
          <w:highlight w:val="none"/>
        </w:rPr>
      </w:pPr>
      <w:r>
        <w:rPr>
          <w:rFonts w:hint="eastAsia"/>
          <w:color w:val="auto"/>
          <w:sz w:val="22"/>
          <w:highlight w:val="none"/>
        </w:rPr>
        <w:t>③准备政府采购项目的相关文件资料，如项目政府采购预算确认书（计划）、专家抽取有关凭证、项目书面说明、招标文件、补充文件及质疑答复情况、现场工作所需的相关登记表单、评审工作底稿等。</w:t>
      </w:r>
    </w:p>
    <w:p>
      <w:pPr>
        <w:pStyle w:val="44"/>
        <w:snapToGrid w:val="0"/>
        <w:spacing w:line="360" w:lineRule="exact"/>
        <w:ind w:firstLine="440" w:firstLineChars="200"/>
        <w:rPr>
          <w:color w:val="auto"/>
          <w:sz w:val="22"/>
          <w:highlight w:val="none"/>
        </w:rPr>
      </w:pPr>
      <w:r>
        <w:rPr>
          <w:rFonts w:hint="eastAsia"/>
          <w:color w:val="auto"/>
          <w:sz w:val="22"/>
          <w:highlight w:val="none"/>
        </w:rPr>
        <w:t>④其他应准备的事项。</w:t>
      </w:r>
    </w:p>
    <w:p>
      <w:pPr>
        <w:pStyle w:val="12"/>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pPr>
        <w:pStyle w:val="15"/>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25"/>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②解密</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本项目原则上采用政采云电子招投标开标及评审程序，但有下情形的，按以下情况处理：</w:t>
      </w:r>
    </w:p>
    <w:p>
      <w:pPr>
        <w:pStyle w:val="15"/>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电子投标文件的，采购代理机构将按照投标人自身意愿确认是否同意提供加密密码解密传送至浙江乐诚工程咨询有限公司电子邮箱（2812799762@qq.com）的以介质存储的数据电文形式的备份电子投标文件，并以以介质存储的数据电文形式的备份电子投标文件按政府采购云平台操作规范上传至政府采购云平台，上传成功后，电子加密投标文件自动失效，否则视为投标文件撤回。投标文件已按时解密的，以介质存储的数据电文形式的备份电子投标文件自动失效。</w:t>
      </w:r>
    </w:p>
    <w:p>
      <w:pPr>
        <w:pStyle w:val="15"/>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5"/>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pPr>
        <w:pStyle w:val="15"/>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③投标文件解密结束，组织投标人签署《政府采购活动现场确认声明书》，格式详见附件。</w:t>
      </w:r>
    </w:p>
    <w:p>
      <w:pPr>
        <w:pStyle w:val="15"/>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④采购代理机构对资格进行审查。</w:t>
      </w:r>
    </w:p>
    <w:p>
      <w:pPr>
        <w:pStyle w:val="15"/>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⑤评标委员会对商务技术文件进行评审。</w:t>
      </w:r>
    </w:p>
    <w:p>
      <w:pPr>
        <w:pStyle w:val="15"/>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⑥评标委员会对报价情况进行评审。</w:t>
      </w:r>
    </w:p>
    <w:p>
      <w:pPr>
        <w:pStyle w:val="15"/>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⑦在系统上公布评审结果。</w:t>
      </w:r>
    </w:p>
    <w:p>
      <w:pPr>
        <w:pStyle w:val="15"/>
        <w:widowControl w:val="0"/>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pPr>
        <w:pStyle w:val="15"/>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pPr>
        <w:pStyle w:val="15"/>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①</w:t>
      </w:r>
      <w:r>
        <w:rPr>
          <w:rFonts w:hint="eastAsia" w:hAnsi="宋体" w:cs="宋体"/>
          <w:color w:val="auto"/>
          <w:spacing w:val="-6"/>
          <w:sz w:val="22"/>
          <w:highlight w:val="none"/>
        </w:rPr>
        <w:t>开启评审场地的录音录像采集设备，并确保其正常运行。</w:t>
      </w:r>
    </w:p>
    <w:p>
      <w:pPr>
        <w:pStyle w:val="15"/>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②</w:t>
      </w:r>
      <w:r>
        <w:rPr>
          <w:rFonts w:hint="eastAsia" w:hAnsi="宋体" w:cs="宋体"/>
          <w:color w:val="auto"/>
          <w:spacing w:val="-6"/>
          <w:sz w:val="22"/>
          <w:highlight w:val="none"/>
        </w:rPr>
        <w:t>核验出席评审活动现场的评标委员会各成员身份，并要求其分别登记、签到，按规定统一收缴、保存其通讯工具，无关人员一律拒绝其进入评审现场。</w:t>
      </w:r>
    </w:p>
    <w:p>
      <w:pPr>
        <w:pStyle w:val="15"/>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③介绍评审现场的人员情况，宣布评审工作纪律，告知评标委员会应当回避情形；组织推选评标委员会组长。</w:t>
      </w:r>
    </w:p>
    <w:p>
      <w:pPr>
        <w:pStyle w:val="15"/>
        <w:overflowPunct/>
        <w:autoSpaceDE/>
        <w:autoSpaceDN/>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④宣布获取</w:t>
      </w:r>
      <w:r>
        <w:rPr>
          <w:rFonts w:hint="eastAsia" w:hAnsi="宋体" w:cs="宋体"/>
          <w:color w:val="auto"/>
          <w:spacing w:val="-6"/>
          <w:sz w:val="22"/>
          <w:highlight w:val="none"/>
        </w:rPr>
        <w:t>本项目采购的投标人名单，宣读最终提交投标文件且通过资格审查的投标人名单，组织评标委员会各位成员签订《政府采购评审人员廉洁自律承诺书》。</w:t>
      </w:r>
    </w:p>
    <w:p>
      <w:pPr>
        <w:pStyle w:val="15"/>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hAnsi="宋体" w:cs="宋体"/>
          <w:color w:val="auto"/>
          <w:kern w:val="0"/>
          <w:sz w:val="22"/>
          <w:highlight w:val="none"/>
        </w:rPr>
        <w:t>评标委员会要求投标人澄清、说明或者补正，须通过政采云平台要求澄清、说明或者补正。</w:t>
      </w:r>
    </w:p>
    <w:p>
      <w:pPr>
        <w:pStyle w:val="44"/>
        <w:snapToGrid w:val="0"/>
        <w:spacing w:line="360" w:lineRule="exact"/>
        <w:ind w:firstLine="416" w:firstLineChars="200"/>
        <w:rPr>
          <w:color w:val="auto"/>
          <w:spacing w:val="-6"/>
          <w:sz w:val="22"/>
          <w:highlight w:val="none"/>
        </w:rPr>
      </w:pPr>
      <w:r>
        <w:rPr>
          <w:rFonts w:hint="eastAsia"/>
          <w:color w:val="auto"/>
          <w:spacing w:val="-6"/>
          <w:sz w:val="22"/>
          <w:highlight w:val="none"/>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5"/>
        <w:overflowPunct/>
        <w:autoSpaceDE/>
        <w:autoSpaceDN/>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做好评审现场相关记录，做好评审报告起草、有关内容电脑文字录入等工作，并要求评标委员会各成员签字确认。</w:t>
      </w:r>
    </w:p>
    <w:p>
      <w:pPr>
        <w:pStyle w:val="15"/>
        <w:overflowPunct/>
        <w:autoSpaceDE/>
        <w:autoSpaceDN/>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⑦评审结束后，采购代理机构交还评审人员及其他现场相关人员的通讯工具。</w:t>
      </w:r>
    </w:p>
    <w:p>
      <w:pPr>
        <w:spacing w:line="36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pPr>
        <w:pStyle w:val="15"/>
        <w:overflowPunct/>
        <w:autoSpaceDE/>
        <w:autoSpaceDN/>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pPr>
        <w:pStyle w:val="15"/>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pPr>
        <w:pStyle w:val="15"/>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（2）仅递交备份电子投标文件的；</w:t>
      </w:r>
    </w:p>
    <w:p>
      <w:pPr>
        <w:pStyle w:val="15"/>
        <w:overflowPunct/>
        <w:autoSpaceDE/>
        <w:autoSpaceDN/>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pPr>
        <w:spacing w:line="360" w:lineRule="exact"/>
        <w:ind w:firstLine="416" w:firstLineChars="200"/>
        <w:rPr>
          <w:rFonts w:ascii="宋体" w:hAnsi="宋体" w:cs="宋体"/>
          <w:color w:val="auto"/>
          <w:spacing w:val="-6"/>
          <w:sz w:val="22"/>
          <w:highlight w:val="none"/>
          <w:u w:val="single"/>
        </w:rPr>
      </w:pPr>
      <w:r>
        <w:rPr>
          <w:rFonts w:hint="eastAsia" w:ascii="宋体" w:hAnsi="宋体" w:cs="宋体"/>
          <w:color w:val="auto"/>
          <w:spacing w:val="-6"/>
          <w:sz w:val="22"/>
          <w:highlight w:val="none"/>
          <w:u w:val="single"/>
        </w:rPr>
        <w:t>（4）</w:t>
      </w:r>
      <w:r>
        <w:rPr>
          <w:rFonts w:hint="eastAsia" w:ascii="宋体" w:hAnsi="宋体" w:cs="宋体"/>
          <w:color w:val="auto"/>
          <w:sz w:val="22"/>
          <w:highlight w:val="none"/>
          <w:u w:val="single"/>
        </w:rPr>
        <w:t>电子投标文件解密失败的，且未在规定时间内提交备份电子投标文件的视为投标无效。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（2）资格审查材料未按招标文件要求签署、盖章的；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（3）不具备招标文件中规定的资格条件的；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（4）经查询存在不良信用记录的。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（1）“商务和技术文件”未按招标文件要求签署、盖章的；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（2）未提供合法、有效法定代表人授权委托书；法定代表人或委托授权代表与投标文件所附身份证明不符；</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（3）明显不符合招标文件实质性要求或者与招标文件中标“▲且加下划线”的内容发生实质性偏离的；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（4）未提供或未如实提供采购需求偏离表的；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（5）未提供或未如实提供投标货物的技术参数，或者投标文件标明的响应或偏离与事实不符或虚假投标的；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（6）投标有效期不能满足招标文件要求的；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（7）投标技术方案不明确，存在一个或一个以上备选（替代）投标方案的；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（8）投标文件含有采购人不能接受的附加条件的；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（9）在“资格文件”或“商务和技术文件”中出现投标报价的；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（10）法律、法规和招标文件中规定的其他无效情形的。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pPr>
        <w:pStyle w:val="15"/>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pPr>
        <w:pStyle w:val="15"/>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pPr>
        <w:pStyle w:val="15"/>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标委员会在评标中发现的计算错误并进行核实的修改不在此列。</w:t>
      </w:r>
    </w:p>
    <w:p>
      <w:pPr>
        <w:pStyle w:val="15"/>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7.2如果投标人代表拒绝按评标委员会要求在“政采云”平台作出在线回复且无其他有效回复方式的，评标委员会可以对其作出投标无效处理。</w:t>
      </w:r>
    </w:p>
    <w:p>
      <w:pPr>
        <w:tabs>
          <w:tab w:val="left" w:pos="1365"/>
        </w:tabs>
        <w:spacing w:line="400" w:lineRule="exact"/>
        <w:ind w:firstLine="440" w:firstLineChars="200"/>
        <w:rPr>
          <w:rFonts w:ascii="宋体" w:hAnsi="宋体" w:cs="宋体"/>
          <w:b/>
          <w:color w:val="auto"/>
          <w:sz w:val="22"/>
          <w:highlight w:val="none"/>
          <w:u w:val="single"/>
        </w:rPr>
      </w:pPr>
      <w:r>
        <w:rPr>
          <w:rFonts w:hint="eastAsia" w:ascii="宋体" w:hAnsi="宋体" w:cs="宋体"/>
          <w:color w:val="auto"/>
          <w:sz w:val="22"/>
          <w:highlight w:val="none"/>
        </w:rPr>
        <w:t>7.3采用书面形式的澄清、说明或者更正，在规定时间内（不少于半小时）通过指定的途径提交。</w:t>
      </w:r>
    </w:p>
    <w:p>
      <w:pPr>
        <w:tabs>
          <w:tab w:val="left" w:pos="1365"/>
        </w:tabs>
        <w:spacing w:line="40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7.4经澄清后，若偏差仍存在，且不可接受，投标人则被认为是“没有实质性响应招标文件要求”，其投标不进入下一步评审。</w:t>
      </w:r>
    </w:p>
    <w:p>
      <w:pPr>
        <w:pStyle w:val="15"/>
        <w:tabs>
          <w:tab w:val="left" w:pos="630"/>
        </w:tabs>
        <w:overflowPunct/>
        <w:autoSpaceDE/>
        <w:autoSpaceDN/>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pStyle w:val="25"/>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8.2评标中因评标委员会成员缺席、回避或者健康等特殊原因导致评标委员会组成不符合规定的，依法补足后继续评标。被更换的评标委员会成员所作出的评标意见无效。</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8.3评标委员会成员对需要共同认定的事项存在争议的，应当按照少数服从多数的原则作出结论。持不同意见的评标委员会成员应当在评标报告上签署不同意见及理由，否则视为同意评标报告。</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pPr>
        <w:pStyle w:val="15"/>
        <w:overflowPunct/>
        <w:autoSpaceDE/>
        <w:autoSpaceDN/>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8.5评标过程中遇到特殊情况，由评标委员会遵循公开、公正原则，采取投票方式按照少数服从多数原则决定。</w:t>
      </w:r>
    </w:p>
    <w:p>
      <w:pPr>
        <w:pStyle w:val="15"/>
        <w:overflowPunct/>
        <w:autoSpaceDE/>
        <w:autoSpaceDN/>
        <w:adjustRightInd/>
        <w:snapToGrid w:val="0"/>
        <w:spacing w:line="360" w:lineRule="exact"/>
        <w:ind w:firstLine="440" w:firstLineChars="200"/>
        <w:textAlignment w:val="auto"/>
        <w:rPr>
          <w:rFonts w:hAnsi="宋体" w:cs="宋体"/>
          <w:b/>
          <w:bCs/>
          <w:color w:val="auto"/>
          <w:sz w:val="22"/>
          <w:highlight w:val="none"/>
        </w:rPr>
      </w:pPr>
      <w:r>
        <w:rPr>
          <w:rFonts w:hint="eastAsia" w:hAnsi="宋体" w:cs="宋体"/>
          <w:color w:val="auto"/>
          <w:sz w:val="22"/>
          <w:highlight w:val="none"/>
        </w:rPr>
        <w:t>8.6</w:t>
      </w:r>
      <w:r>
        <w:rPr>
          <w:rFonts w:hint="eastAsia" w:hAnsi="宋体" w:cs="宋体"/>
          <w:b/>
          <w:bCs/>
          <w:color w:val="auto"/>
          <w:sz w:val="22"/>
          <w:highlight w:val="none"/>
        </w:rPr>
        <w:t>《中华人民共和国政府采购法》第三十六条在招标采购中，出现下列情形之一的，应予废标：</w:t>
      </w:r>
    </w:p>
    <w:p>
      <w:pPr>
        <w:pStyle w:val="15"/>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pPr>
        <w:pStyle w:val="15"/>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pPr>
        <w:pStyle w:val="15"/>
        <w:overflowPunct/>
        <w:autoSpaceDE/>
        <w:autoSpaceDN/>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pPr>
        <w:pStyle w:val="15"/>
        <w:overflowPunct/>
        <w:autoSpaceDE/>
        <w:autoSpaceDN/>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9.1本次招标由评标委员会确定中标候选人（招标文件另有规定的除外）。</w:t>
      </w:r>
    </w:p>
    <w:p>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pPr>
        <w:pStyle w:val="15"/>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pPr>
        <w:pStyle w:val="15"/>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标委员会直接确定中标人。采购人逾期未确定中标人且不提出异议的，视为确定评审报告提出的排序第一的投标人为中标人。</w:t>
      </w:r>
    </w:p>
    <w:p>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pPr>
        <w:spacing w:line="400" w:lineRule="exact"/>
        <w:jc w:val="center"/>
        <w:outlineLvl w:val="0"/>
        <w:rPr>
          <w:rFonts w:ascii="宋体" w:hAnsi="宋体" w:cs="宋体"/>
          <w:b/>
          <w:color w:val="auto"/>
          <w:sz w:val="26"/>
          <w:highlight w:val="none"/>
        </w:rPr>
      </w:pPr>
      <w:r>
        <w:rPr>
          <w:rFonts w:hint="eastAsia" w:ascii="宋体" w:hAnsi="宋体" w:cs="宋体"/>
          <w:b/>
          <w:color w:val="auto"/>
          <w:sz w:val="26"/>
          <w:highlight w:val="none"/>
        </w:rPr>
        <w:t>六、 授予合同</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spacing w:line="360" w:lineRule="exact"/>
        <w:jc w:val="center"/>
        <w:rPr>
          <w:rFonts w:ascii="宋体" w:hAnsi="宋体" w:cs="宋体"/>
          <w:b/>
          <w:color w:val="auto"/>
          <w:sz w:val="28"/>
          <w:szCs w:val="28"/>
          <w:highlight w:val="none"/>
        </w:rPr>
      </w:pPr>
      <w:r>
        <w:rPr>
          <w:rFonts w:hint="eastAsia" w:ascii="宋体" w:hAnsi="宋体" w:cs="宋体"/>
          <w:b/>
          <w:color w:val="auto"/>
          <w:sz w:val="26"/>
          <w:highlight w:val="none"/>
        </w:rPr>
        <w:t xml:space="preserve">七、 </w:t>
      </w:r>
      <w:r>
        <w:rPr>
          <w:rFonts w:hint="eastAsia" w:ascii="宋体" w:hAnsi="宋体" w:cs="宋体"/>
          <w:b/>
          <w:color w:val="auto"/>
          <w:sz w:val="28"/>
          <w:szCs w:val="28"/>
          <w:highlight w:val="none"/>
        </w:rPr>
        <w:t>可中止电子交易活动的情形</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（一）电子交易平台发生故障而无法登录访问的； </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（二）电子交易平台应用或数据库出现错误，不能进行正常操作的；</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（三）电子交易平台发现严重安全漏洞，有潜在泄密危险的；</w:t>
      </w:r>
    </w:p>
    <w:p>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（四）病毒发作导致不能进行正常操作的； </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（五）其他无法保证电子交易的公平、公正和安全的情况。</w:t>
      </w:r>
    </w:p>
    <w:p>
      <w:pPr>
        <w:spacing w:line="360" w:lineRule="exact"/>
        <w:ind w:firstLine="440" w:firstLineChars="200"/>
        <w:jc w:val="left"/>
        <w:rPr>
          <w:rFonts w:ascii="宋体" w:hAnsi="宋体" w:cs="宋体"/>
          <w:b/>
          <w:bCs/>
          <w:color w:val="auto"/>
          <w:szCs w:val="21"/>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r>
        <w:rPr>
          <w:rFonts w:hint="eastAsia" w:ascii="宋体" w:hAnsi="宋体" w:cs="宋体"/>
          <w:b/>
          <w:color w:val="auto"/>
          <w:sz w:val="22"/>
          <w:highlight w:val="none"/>
        </w:rPr>
        <w:br w:type="page"/>
      </w:r>
      <w:r>
        <w:rPr>
          <w:rFonts w:hint="eastAsia" w:ascii="宋体" w:hAnsi="宋体" w:cs="宋体"/>
          <w:b/>
          <w:color w:val="auto"/>
          <w:sz w:val="22"/>
          <w:highlight w:val="none"/>
        </w:rPr>
        <w:t xml:space="preserve">                    </w:t>
      </w:r>
      <w:r>
        <w:rPr>
          <w:rFonts w:hint="eastAsia" w:ascii="宋体" w:hAnsi="宋体" w:cs="宋体"/>
          <w:b/>
          <w:color w:val="auto"/>
          <w:sz w:val="32"/>
          <w:highlight w:val="none"/>
        </w:rPr>
        <w:t xml:space="preserve">第三部分   </w:t>
      </w:r>
      <w:r>
        <w:rPr>
          <w:rFonts w:hint="eastAsia" w:ascii="宋体" w:hAnsi="宋体" w:cs="宋体"/>
          <w:b/>
          <w:bCs/>
          <w:color w:val="auto"/>
          <w:sz w:val="32"/>
          <w:szCs w:val="32"/>
          <w:highlight w:val="none"/>
        </w:rPr>
        <w:t>拟签订的合同文本</w:t>
      </w:r>
    </w:p>
    <w:p>
      <w:pPr>
        <w:widowControl/>
        <w:adjustRightInd w:val="0"/>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（本合同为样稿，最终稿由甲乙双方协商后确定）</w:t>
      </w:r>
    </w:p>
    <w:p>
      <w:pPr>
        <w:jc w:val="center"/>
        <w:rPr>
          <w:rFonts w:hint="eastAsia" w:ascii="宋体" w:hAnsi="宋体" w:cs="宋体"/>
          <w:color w:val="auto"/>
          <w:sz w:val="22"/>
          <w:highlight w:val="none"/>
        </w:rPr>
      </w:pPr>
    </w:p>
    <w:p>
      <w:pPr>
        <w:jc w:val="center"/>
        <w:rPr>
          <w:rFonts w:ascii="宋体" w:hAnsi="宋体" w:cs="宋体"/>
          <w:color w:val="auto"/>
          <w:sz w:val="22"/>
          <w:highlight w:val="none"/>
        </w:rPr>
      </w:pPr>
      <w:r>
        <w:rPr>
          <w:rFonts w:hint="eastAsia" w:ascii="宋体" w:hAnsi="宋体" w:cs="宋体"/>
          <w:color w:val="auto"/>
          <w:sz w:val="22"/>
          <w:highlight w:val="none"/>
        </w:rPr>
        <w:t>温州理工学院设备采购合同</w:t>
      </w:r>
    </w:p>
    <w:p>
      <w:pPr>
        <w:rPr>
          <w:rFonts w:ascii="宋体" w:hAnsi="宋体" w:cs="宋体"/>
          <w:color w:val="auto"/>
          <w:sz w:val="22"/>
          <w:highlight w:val="none"/>
          <w:u w:val="single"/>
        </w:rPr>
      </w:pPr>
      <w:r>
        <w:rPr>
          <w:rFonts w:hint="eastAsia" w:ascii="宋体" w:hAnsi="宋体" w:cs="宋体"/>
          <w:color w:val="auto"/>
          <w:sz w:val="22"/>
          <w:highlight w:val="none"/>
        </w:rPr>
        <w:t>采购编号：</w:t>
      </w:r>
      <w:r>
        <w:rPr>
          <w:rFonts w:hint="eastAsia" w:ascii="宋体" w:hAnsi="宋体" w:cs="宋体"/>
          <w:color w:val="auto"/>
          <w:sz w:val="22"/>
          <w:highlight w:val="none"/>
          <w:u w:val="single"/>
          <w:lang w:val="zh-CN"/>
        </w:rPr>
        <w:t xml:space="preserve">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合同编号：</w:t>
      </w:r>
    </w:p>
    <w:p>
      <w:pPr>
        <w:rPr>
          <w:rFonts w:ascii="宋体" w:hAnsi="宋体" w:cs="宋体"/>
          <w:color w:val="auto"/>
          <w:sz w:val="22"/>
          <w:highlight w:val="none"/>
        </w:rPr>
      </w:pPr>
      <w:r>
        <w:rPr>
          <w:rFonts w:hint="eastAsia" w:ascii="宋体" w:hAnsi="宋体" w:cs="宋体"/>
          <w:color w:val="auto"/>
          <w:sz w:val="22"/>
          <w:highlight w:val="none"/>
        </w:rPr>
        <w:t>甲方：</w:t>
      </w:r>
      <w:r>
        <w:rPr>
          <w:rFonts w:hint="eastAsia" w:ascii="宋体" w:hAnsi="宋体" w:cs="宋体"/>
          <w:color w:val="auto"/>
          <w:sz w:val="22"/>
          <w:highlight w:val="none"/>
          <w:u w:val="single"/>
        </w:rPr>
        <w:t>温州理工学院</w:t>
      </w:r>
    </w:p>
    <w:p>
      <w:pPr>
        <w:rPr>
          <w:rFonts w:ascii="宋体" w:hAnsi="宋体" w:cs="宋体"/>
          <w:color w:val="auto"/>
          <w:sz w:val="22"/>
          <w:highlight w:val="none"/>
          <w:u w:val="single"/>
          <w:lang w:val="zh-CN"/>
        </w:rPr>
      </w:pPr>
      <w:r>
        <w:rPr>
          <w:rFonts w:hint="eastAsia" w:ascii="宋体" w:hAnsi="宋体" w:cs="宋体"/>
          <w:color w:val="auto"/>
          <w:sz w:val="22"/>
          <w:highlight w:val="none"/>
        </w:rPr>
        <w:t>乙方</w:t>
      </w:r>
      <w:r>
        <w:rPr>
          <w:rFonts w:hint="eastAsia" w:ascii="宋体" w:hAnsi="宋体" w:cs="宋体"/>
          <w:color w:val="auto"/>
          <w:sz w:val="22"/>
          <w:highlight w:val="none"/>
          <w:u w:val="single"/>
          <w:lang w:val="zh-CN"/>
        </w:rPr>
        <w:t xml:space="preserve">：            </w:t>
      </w:r>
    </w:p>
    <w:p>
      <w:pPr>
        <w:rPr>
          <w:rFonts w:ascii="宋体" w:hAnsi="宋体" w:cs="宋体"/>
          <w:color w:val="auto"/>
          <w:sz w:val="22"/>
          <w:highlight w:val="none"/>
          <w:u w:val="single"/>
        </w:rPr>
      </w:pPr>
      <w:r>
        <w:rPr>
          <w:rFonts w:hint="eastAsia" w:ascii="宋体" w:hAnsi="宋体" w:cs="宋体"/>
          <w:color w:val="auto"/>
          <w:sz w:val="22"/>
          <w:highlight w:val="none"/>
        </w:rPr>
        <w:t>合同鉴证方：</w:t>
      </w:r>
      <w:r>
        <w:rPr>
          <w:rFonts w:hint="eastAsia" w:ascii="宋体" w:hAnsi="宋体" w:cs="宋体"/>
          <w:color w:val="auto"/>
          <w:sz w:val="22"/>
          <w:highlight w:val="none"/>
          <w:u w:val="single"/>
        </w:rPr>
        <w:t>浙江乐诚工程咨询有限公司</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日在温州理工学院的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采购中，甲乙双方及采购方根据《中华人民共和国民法典》等法规和本合同的采购文件、投标文件及其采购过程中的承诺，经双方协商，同意签订本合同，共同遵守。</w:t>
      </w:r>
    </w:p>
    <w:p>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 xml:space="preserve">1、采购内容及价格                                      单位： </w:t>
      </w:r>
      <w:r>
        <w:rPr>
          <w:rFonts w:hint="eastAsia" w:ascii="宋体" w:hAnsi="宋体" w:cs="宋体"/>
          <w:color w:val="auto"/>
          <w:sz w:val="22"/>
          <w:highlight w:val="none"/>
          <w:u w:val="single"/>
        </w:rPr>
        <w:t xml:space="preserve"> 元 </w:t>
      </w:r>
    </w:p>
    <w:tbl>
      <w:tblPr>
        <w:tblStyle w:val="28"/>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14"/>
        <w:gridCol w:w="969"/>
        <w:gridCol w:w="2436"/>
        <w:gridCol w:w="870"/>
        <w:gridCol w:w="127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414"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采购名称</w:t>
            </w:r>
          </w:p>
        </w:tc>
        <w:tc>
          <w:tcPr>
            <w:tcW w:w="969"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2436"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型号规格和主要配置</w:t>
            </w:r>
          </w:p>
        </w:tc>
        <w:tc>
          <w:tcPr>
            <w:tcW w:w="870"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1275"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单价</w:t>
            </w:r>
          </w:p>
        </w:tc>
        <w:tc>
          <w:tcPr>
            <w:tcW w:w="1366"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414"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969"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2436"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870"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1275"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1366" w:type="dxa"/>
            <w:vAlign w:val="center"/>
          </w:tcPr>
          <w:p>
            <w:pPr>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7"/>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 xml:space="preserve">合计：（大写）                                                     小写：￥ </w:t>
            </w:r>
          </w:p>
        </w:tc>
      </w:tr>
    </w:tbl>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本合同总价为货物的供货、包装、运输、装卸、安装调试、验收（含第三方验收）、质保期内软件升级、采购代理服务费、售后服务、材料税费、搬运费、税费以及完成合同所需的一切本身和不可或缺的所有工作开支、政策性文件规定，合同包含的所有风险、责任等相关各项其他可能产生的全部费用，即“交钥匙工程”，实行固定总价包干。除发生下列因素可调整合同价外，不得以任何其他理由调整任何费用。</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2.1甲方因安装地点改变等原因提出的货物数量变更，经甲乙双方同意，可以签订补充协议。</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2.2乙方因成交产品型号停产，生产厂家出具替代型号与停产证明，但不得更改该产品成交金额，经甲乙双方同意可以签订补充协议。</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2.3属乙方投标漏项少算的设备及服务费用不得追补。</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3、设备、材料供应</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本合同范围所需的设备均由乙方提供。采购供应的材料、设备均须有合格证、质保书等相关技术资料。如发现不合格的设备材料，由乙方承担全部的经济损失和责任。</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4、产品包装</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4.1为了保证设备在长途运输和装卸过程中的安全，产品包装应符合国家或专业（部）标准规定。由于包装不善导致设备锈蚀、失缺或损坏，由乙方承担一切责任。</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4.2每一包装箱内必须附有装箱清单。</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5、唛头</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5.1乙方应在每件包装箱上，明显地标注下列标记：</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1)收货人； 2)产品名称；  3)合同号；4)品目号和箱号； 5)到达站或到货地点；6)外形尺寸(长宽高)，以厘米计；7)毛重、净重(公斤)。</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5.2乙方应根据设备特点，在包装箱上标明“小心轻放”、“请勿倒置”、“防潮”等字样和吊装标记。</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6、本合同产品的免费保修期限为</w:t>
      </w:r>
      <w:r>
        <w:rPr>
          <w:rFonts w:hint="eastAsia" w:ascii="宋体" w:hAnsi="宋体" w:cs="宋体"/>
          <w:color w:val="auto"/>
          <w:sz w:val="22"/>
          <w:highlight w:val="none"/>
          <w:u w:val="single"/>
        </w:rPr>
        <w:t xml:space="preserve">   年 </w:t>
      </w:r>
      <w:r>
        <w:rPr>
          <w:rFonts w:hint="eastAsia" w:ascii="宋体" w:hAnsi="宋体" w:cs="宋体"/>
          <w:color w:val="auto"/>
          <w:sz w:val="22"/>
          <w:highlight w:val="none"/>
        </w:rPr>
        <w:t>。</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在产品质量保证期限内，乙方对由于产品设计、工艺、材料、配套件的缺陷而造成的任何产品质量问题或故障负责。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7、产品资料</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8、交付使用时间：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，交货地点：</w:t>
      </w:r>
      <w:r>
        <w:rPr>
          <w:rFonts w:hint="eastAsia" w:ascii="宋体" w:hAnsi="宋体" w:cs="宋体"/>
          <w:color w:val="auto"/>
          <w:sz w:val="22"/>
          <w:highlight w:val="none"/>
          <w:u w:val="single"/>
        </w:rPr>
        <w:t xml:space="preserve">        。</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9、付款方式与结算</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详见采购需求</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10、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采购文件等约定的质量、数量、技术指标或者服务要求设验收指标及其标准。未约定的，应当符合国家强制性规定、政策要求、安全标准、行业或企业有关标准等。  </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11、违约责任</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11.1设备质量责任</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2）接到甲方通知后，乙方提供24小时售后服务，合同出现故障后，乙方接到甲方通知应在不超过2小时内做出响应，若电话无法解决的，于48小时内到达现场实施维修，提供不间断的服务直到修复为止。</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3）由于甲方保管不善或使用不当造成设备短缺、故障或损坏，由甲方负责。但乙方保证及时给予补齐和修复。</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11.2违约赔偿</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除不可抗力外，如乙方发生不能按期交货或提供服务，甲方发生中途退货等情况，应及时以书面形式通知对方。双方应本着友好的态度进行协商，妥善解决。</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如协商无效，按下列规定处以罚金。</w:t>
      </w:r>
    </w:p>
    <w:p>
      <w:pPr>
        <w:numPr>
          <w:ilvl w:val="0"/>
          <w:numId w:val="3"/>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逾期交货</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逾期交货，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w:t>
      </w:r>
    </w:p>
    <w:p>
      <w:pPr>
        <w:numPr>
          <w:ilvl w:val="0"/>
          <w:numId w:val="3"/>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乙方不能交货或甲方中途退货</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乙方不能交货，履约保证金将被没收并向甲方偿付违约金。违约金按合同总价的10-30%计算。</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甲方中途退货，退还履约保证金并向乙方偿付违约金。违约金的计算方法与乙方违约相同。</w:t>
      </w:r>
    </w:p>
    <w:p>
      <w:pPr>
        <w:numPr>
          <w:ilvl w:val="0"/>
          <w:numId w:val="3"/>
        </w:numPr>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履约保证金按付款方式及时退还，逾期支付，应向乙方偿付违约金，自逾期之日起，每逾一日违约罚款按履约保证金的0.2%计付，直至付款完成。</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 经双方协商同意延期交货或延长履约保证金期限或同意退货且无需罚款者不在此例。</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12、转让和分包</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未经甲方事先书面同意，乙方不得部分转让或分包或全部转让其应履行的合同义务。</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13、争端的解决</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合同实施或与合同有关的一切争端，甲乙双方首先应通过友好协商解决，如果协商仍得不到解决，任何一方可向甲方所在地人民法院申请诉讼。</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14、约定事项：</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14.1 本合同一式伍份，甲方两份、乙方两份、合同鉴证方一份。</w:t>
      </w:r>
    </w:p>
    <w:p>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14.2 合同经甲方、乙方、合同鉴证方签字盖章后生效。</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14.3 如需修改或补充合同内容，经协商，双方应签署书面修改或补充协议，该协议将作为本合同的一个组成部分。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14.4 </w:t>
      </w:r>
      <w:r>
        <w:rPr>
          <w:rFonts w:hint="eastAsia" w:ascii="宋体" w:hAnsi="宋体" w:cs="宋体"/>
          <w:b/>
          <w:color w:val="auto"/>
          <w:sz w:val="22"/>
          <w:highlight w:val="none"/>
        </w:rPr>
        <w:t>本合同未尽事宜及对合同内容如有异议，以采购文件、投标文件和在招标现场承诺为准，</w:t>
      </w:r>
      <w:r>
        <w:rPr>
          <w:rFonts w:hint="eastAsia" w:ascii="宋体" w:hAnsi="宋体" w:cs="宋体"/>
          <w:color w:val="auto"/>
          <w:sz w:val="22"/>
          <w:highlight w:val="none"/>
        </w:rPr>
        <w:t>如遇国家法律、法规及政策另有规定的，从其规定。</w:t>
      </w:r>
    </w:p>
    <w:p>
      <w:pPr>
        <w:spacing w:line="360" w:lineRule="exact"/>
        <w:ind w:left="270"/>
        <w:rPr>
          <w:rFonts w:ascii="宋体" w:hAnsi="宋体" w:cs="宋体"/>
          <w:color w:val="auto"/>
          <w:sz w:val="22"/>
          <w:highlight w:val="none"/>
        </w:rPr>
      </w:pPr>
      <w:r>
        <w:rPr>
          <w:rFonts w:hint="eastAsia" w:ascii="宋体" w:hAnsi="宋体" w:cs="宋体"/>
          <w:color w:val="auto"/>
          <w:sz w:val="22"/>
          <w:highlight w:val="non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spacing w:line="360" w:lineRule="exact"/>
              <w:rPr>
                <w:rFonts w:ascii="宋体" w:hAnsi="宋体" w:cs="宋体"/>
                <w:color w:val="auto"/>
                <w:sz w:val="22"/>
                <w:highlight w:val="none"/>
                <w:u w:val="single"/>
                <w:lang w:val="zh-CN"/>
              </w:rPr>
            </w:pPr>
            <w:r>
              <w:rPr>
                <w:rFonts w:hint="eastAsia" w:ascii="宋体" w:hAnsi="宋体" w:cs="宋体"/>
                <w:color w:val="auto"/>
                <w:sz w:val="22"/>
                <w:highlight w:val="none"/>
              </w:rPr>
              <w:t xml:space="preserve">甲方（盖章）：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法人代表：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委托代理人（签字）：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联系电话：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地 址：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纳税人名称：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纳税人识别号：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开户行：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账号： </w:t>
            </w:r>
          </w:p>
        </w:tc>
        <w:tc>
          <w:tcPr>
            <w:tcW w:w="4783" w:type="dxa"/>
          </w:tcPr>
          <w:p>
            <w:pPr>
              <w:spacing w:line="360" w:lineRule="exact"/>
              <w:rPr>
                <w:rFonts w:ascii="宋体" w:hAnsi="宋体" w:cs="宋体"/>
                <w:color w:val="auto"/>
                <w:sz w:val="22"/>
                <w:highlight w:val="none"/>
                <w:u w:val="single"/>
                <w:lang w:val="zh-CN"/>
              </w:rPr>
            </w:pPr>
            <w:r>
              <w:rPr>
                <w:rFonts w:hint="eastAsia" w:ascii="宋体" w:hAnsi="宋体" w:cs="宋体"/>
                <w:color w:val="auto"/>
                <w:sz w:val="22"/>
                <w:highlight w:val="none"/>
              </w:rPr>
              <w:t xml:space="preserve">乙方（盖章）：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法人代表：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委托代理人（签字）：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联系电话：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地 址：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纳税人名称：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纳税人识别号：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开户行：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gridSpan w:val="2"/>
          </w:tcPr>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合同鉴证方（盖章）： </w:t>
            </w:r>
          </w:p>
          <w:p>
            <w:pPr>
              <w:spacing w:line="360" w:lineRule="exact"/>
              <w:rPr>
                <w:rFonts w:ascii="宋体" w:hAnsi="宋体" w:cs="宋体"/>
                <w:color w:val="auto"/>
                <w:sz w:val="22"/>
                <w:highlight w:val="none"/>
              </w:rPr>
            </w:pPr>
            <w:r>
              <w:rPr>
                <w:rFonts w:hint="eastAsia" w:ascii="宋体" w:hAnsi="宋体" w:cs="宋体"/>
                <w:color w:val="auto"/>
                <w:sz w:val="22"/>
                <w:highlight w:val="none"/>
              </w:rPr>
              <w:t>法定代表人或主要负责人（签字）：</w:t>
            </w:r>
            <w:r>
              <w:rPr>
                <w:rFonts w:hint="eastAsia" w:ascii="宋体" w:hAnsi="宋体" w:cs="宋体"/>
                <w:color w:val="auto"/>
                <w:sz w:val="22"/>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gridSpan w:val="2"/>
          </w:tcPr>
          <w:p>
            <w:pPr>
              <w:spacing w:line="360" w:lineRule="exact"/>
              <w:ind w:firstLine="220" w:firstLineChars="100"/>
              <w:jc w:val="center"/>
              <w:rPr>
                <w:rFonts w:ascii="宋体" w:hAnsi="宋体" w:cs="宋体"/>
                <w:color w:val="auto"/>
                <w:sz w:val="22"/>
                <w:highlight w:val="none"/>
              </w:rPr>
            </w:pPr>
            <w:r>
              <w:rPr>
                <w:rFonts w:hint="eastAsia" w:ascii="宋体" w:hAnsi="宋体" w:cs="宋体"/>
                <w:color w:val="auto"/>
                <w:sz w:val="22"/>
                <w:highlight w:val="none"/>
              </w:rPr>
              <w:t>合同签订日期：      年    月    日</w:t>
            </w:r>
          </w:p>
        </w:tc>
      </w:tr>
    </w:tbl>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                          </w:t>
      </w:r>
    </w:p>
    <w:p>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                  </w:t>
      </w:r>
    </w:p>
    <w:p>
      <w:pPr>
        <w:pStyle w:val="2"/>
        <w:rPr>
          <w:rFonts w:ascii="宋体" w:hAnsi="宋体" w:eastAsia="宋体" w:cs="宋体"/>
          <w:color w:val="auto"/>
          <w:sz w:val="22"/>
          <w:szCs w:val="22"/>
          <w:highlight w:val="none"/>
        </w:rPr>
      </w:pPr>
    </w:p>
    <w:p>
      <w:pPr>
        <w:rPr>
          <w:rFonts w:ascii="宋体" w:hAnsi="宋体" w:cs="宋体"/>
          <w:color w:val="auto"/>
          <w:sz w:val="22"/>
          <w:highlight w:val="none"/>
        </w:rPr>
      </w:pPr>
    </w:p>
    <w:p>
      <w:pPr>
        <w:pStyle w:val="2"/>
        <w:rPr>
          <w:rFonts w:ascii="宋体" w:hAnsi="宋体" w:eastAsia="宋体" w:cs="宋体"/>
          <w:color w:val="auto"/>
          <w:sz w:val="22"/>
          <w:szCs w:val="22"/>
          <w:highlight w:val="none"/>
        </w:rPr>
      </w:pPr>
    </w:p>
    <w:p>
      <w:pPr>
        <w:rPr>
          <w:rFonts w:ascii="宋体" w:hAnsi="宋体" w:cs="宋体"/>
          <w:color w:val="auto"/>
          <w:sz w:val="22"/>
          <w:highlight w:val="none"/>
        </w:rPr>
      </w:pPr>
    </w:p>
    <w:p>
      <w:pPr>
        <w:pStyle w:val="2"/>
        <w:rPr>
          <w:rFonts w:ascii="宋体" w:hAnsi="宋体" w:eastAsia="宋体" w:cs="宋体"/>
          <w:color w:val="auto"/>
          <w:sz w:val="22"/>
          <w:szCs w:val="22"/>
          <w:highlight w:val="none"/>
        </w:rPr>
      </w:pPr>
    </w:p>
    <w:p>
      <w:pPr>
        <w:rPr>
          <w:rFonts w:ascii="宋体" w:hAnsi="宋体" w:cs="宋体"/>
          <w:color w:val="auto"/>
          <w:sz w:val="22"/>
          <w:highlight w:val="none"/>
        </w:rPr>
      </w:pPr>
    </w:p>
    <w:p>
      <w:pPr>
        <w:pStyle w:val="2"/>
        <w:rPr>
          <w:rFonts w:ascii="宋体" w:hAnsi="宋体" w:eastAsia="宋体" w:cs="宋体"/>
          <w:color w:val="auto"/>
          <w:sz w:val="22"/>
          <w:szCs w:val="22"/>
          <w:highlight w:val="none"/>
        </w:rPr>
      </w:pPr>
    </w:p>
    <w:p>
      <w:pPr>
        <w:rPr>
          <w:rFonts w:ascii="宋体" w:hAnsi="宋体" w:cs="宋体"/>
          <w:color w:val="auto"/>
          <w:sz w:val="22"/>
          <w:highlight w:val="none"/>
        </w:rPr>
      </w:pPr>
    </w:p>
    <w:p>
      <w:pPr>
        <w:pStyle w:val="2"/>
        <w:rPr>
          <w:rFonts w:ascii="宋体" w:hAnsi="宋体" w:eastAsia="宋体" w:cs="宋体"/>
          <w:color w:val="auto"/>
          <w:sz w:val="22"/>
          <w:szCs w:val="22"/>
          <w:highlight w:val="none"/>
        </w:rPr>
      </w:pPr>
    </w:p>
    <w:p>
      <w:pPr>
        <w:rPr>
          <w:rFonts w:ascii="宋体" w:hAnsi="宋体" w:cs="宋体"/>
          <w:color w:val="auto"/>
          <w:sz w:val="22"/>
          <w:highlight w:val="none"/>
        </w:rPr>
      </w:pPr>
    </w:p>
    <w:p>
      <w:pPr>
        <w:pStyle w:val="2"/>
        <w:rPr>
          <w:rFonts w:ascii="宋体" w:hAnsi="宋体" w:eastAsia="宋体" w:cs="宋体"/>
          <w:color w:val="auto"/>
          <w:sz w:val="22"/>
          <w:szCs w:val="22"/>
          <w:highlight w:val="none"/>
        </w:rPr>
      </w:pPr>
    </w:p>
    <w:p>
      <w:pPr>
        <w:rPr>
          <w:rFonts w:ascii="宋体" w:hAnsi="宋体" w:cs="宋体"/>
          <w:color w:val="auto"/>
          <w:sz w:val="22"/>
          <w:highlight w:val="none"/>
        </w:rPr>
      </w:pPr>
    </w:p>
    <w:p>
      <w:pPr>
        <w:pStyle w:val="2"/>
        <w:rPr>
          <w:rFonts w:ascii="宋体" w:hAnsi="宋体" w:eastAsia="宋体" w:cs="宋体"/>
          <w:color w:val="auto"/>
          <w:sz w:val="22"/>
          <w:szCs w:val="22"/>
          <w:highlight w:val="none"/>
        </w:rPr>
      </w:pPr>
    </w:p>
    <w:p>
      <w:pPr>
        <w:rPr>
          <w:rFonts w:ascii="宋体" w:hAnsi="宋体" w:cs="宋体"/>
          <w:color w:val="auto"/>
          <w:sz w:val="22"/>
          <w:highlight w:val="none"/>
        </w:rPr>
      </w:pPr>
    </w:p>
    <w:p>
      <w:pPr>
        <w:pStyle w:val="2"/>
        <w:rPr>
          <w:rFonts w:ascii="宋体" w:hAnsi="宋体" w:eastAsia="宋体" w:cs="宋体"/>
          <w:color w:val="auto"/>
          <w:sz w:val="22"/>
          <w:szCs w:val="22"/>
          <w:highlight w:val="none"/>
        </w:rPr>
      </w:pPr>
    </w:p>
    <w:p>
      <w:pPr>
        <w:rPr>
          <w:color w:val="auto"/>
          <w:highlight w:val="none"/>
        </w:rPr>
      </w:pPr>
    </w:p>
    <w:p>
      <w:pPr>
        <w:ind w:left="270"/>
        <w:jc w:val="center"/>
        <w:rPr>
          <w:rFonts w:ascii="宋体" w:hAnsi="宋体"/>
          <w:b/>
          <w:color w:val="auto"/>
          <w:sz w:val="22"/>
          <w:highlight w:val="none"/>
        </w:rPr>
      </w:pPr>
      <w:r>
        <w:rPr>
          <w:rFonts w:hint="eastAsia" w:ascii="宋体" w:hAnsi="宋体"/>
          <w:b/>
          <w:color w:val="auto"/>
          <w:sz w:val="22"/>
          <w:highlight w:val="none"/>
        </w:rPr>
        <w:t>附件</w:t>
      </w:r>
    </w:p>
    <w:p>
      <w:pPr>
        <w:rPr>
          <w:rFonts w:ascii="宋体" w:hAnsi="宋体"/>
          <w:b/>
          <w:color w:val="auto"/>
          <w:sz w:val="24"/>
          <w:highlight w:val="none"/>
        </w:rPr>
      </w:pPr>
      <w:r>
        <w:rPr>
          <w:rFonts w:hint="eastAsia" w:ascii="宋体" w:hAnsi="宋体"/>
          <w:b/>
          <w:color w:val="auto"/>
          <w:sz w:val="22"/>
          <w:highlight w:val="none"/>
        </w:rPr>
        <w:t xml:space="preserve">  </w:t>
      </w:r>
      <w:r>
        <w:rPr>
          <w:rFonts w:hint="eastAsia" w:ascii="宋体" w:hAnsi="宋体"/>
          <w:b/>
          <w:color w:val="auto"/>
          <w:sz w:val="24"/>
          <w:highlight w:val="none"/>
        </w:rPr>
        <w:t xml:space="preserve">  供货清单：                                              金额单位：人民币（元）</w:t>
      </w:r>
    </w:p>
    <w:tbl>
      <w:tblPr>
        <w:tblStyle w:val="2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320"/>
        <w:gridCol w:w="1115"/>
        <w:gridCol w:w="988"/>
        <w:gridCol w:w="732"/>
        <w:gridCol w:w="1207"/>
        <w:gridCol w:w="659"/>
        <w:gridCol w:w="658"/>
        <w:gridCol w:w="677"/>
        <w:gridCol w:w="823"/>
        <w:gridCol w:w="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货物名称</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产地</w:t>
            </w:r>
          </w:p>
        </w:tc>
        <w:tc>
          <w:tcPr>
            <w:tcW w:w="7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规格型号</w:t>
            </w:r>
          </w:p>
        </w:tc>
        <w:tc>
          <w:tcPr>
            <w:tcW w:w="65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数量</w:t>
            </w:r>
          </w:p>
        </w:tc>
        <w:tc>
          <w:tcPr>
            <w:tcW w:w="65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highlight w:val="none"/>
              </w:rPr>
            </w:pPr>
            <w:r>
              <w:rPr>
                <w:rFonts w:hint="eastAsia" w:ascii="宋体" w:hAnsi="宋体" w:cs="宋体"/>
                <w:color w:val="auto"/>
                <w:sz w:val="22"/>
                <w:highlight w:val="none"/>
              </w:rPr>
              <w:t>单位</w:t>
            </w:r>
          </w:p>
        </w:tc>
        <w:tc>
          <w:tcPr>
            <w:tcW w:w="677"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hAnsi="宋体" w:cs="宋体"/>
                <w:snapToGrid w:val="0"/>
                <w:color w:val="auto"/>
                <w:sz w:val="22"/>
                <w:highlight w:val="none"/>
              </w:rPr>
            </w:pPr>
            <w:r>
              <w:rPr>
                <w:rFonts w:hint="eastAsia" w:hAnsi="宋体" w:cs="宋体"/>
                <w:color w:val="auto"/>
                <w:sz w:val="22"/>
                <w:highlight w:val="none"/>
              </w:rPr>
              <w:t>单价</w:t>
            </w:r>
          </w:p>
        </w:tc>
        <w:tc>
          <w:tcPr>
            <w:tcW w:w="823" w:type="dxa"/>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hAnsi="宋体" w:cs="宋体"/>
                <w:snapToGrid w:val="0"/>
                <w:color w:val="auto"/>
                <w:sz w:val="22"/>
                <w:highlight w:val="none"/>
              </w:rPr>
            </w:pPr>
            <w:r>
              <w:rPr>
                <w:rFonts w:hint="eastAsia" w:hAnsi="宋体" w:cs="宋体"/>
                <w:color w:val="auto"/>
                <w:sz w:val="22"/>
                <w:highlight w:val="none"/>
              </w:rPr>
              <w:t>合计</w:t>
            </w:r>
          </w:p>
        </w:tc>
        <w:tc>
          <w:tcPr>
            <w:tcW w:w="74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宋体" w:hAnsi="宋体" w:cs="宋体"/>
                <w:color w:val="auto"/>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宋体" w:hAnsi="宋体" w:cs="宋体"/>
                <w:color w:val="auto"/>
                <w:sz w:val="22"/>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p>
        </w:tc>
        <w:tc>
          <w:tcPr>
            <w:tcW w:w="6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418"/>
              </w:tabs>
              <w:snapToGrid w:val="0"/>
              <w:spacing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1320"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1418"/>
              </w:tabs>
              <w:snapToGrid w:val="0"/>
              <w:spacing w:line="288" w:lineRule="auto"/>
              <w:jc w:val="center"/>
              <w:rPr>
                <w:rFonts w:ascii="宋体" w:hAnsi="宋体" w:cs="宋体"/>
                <w:color w:val="auto"/>
                <w:spacing w:val="-6"/>
                <w:sz w:val="22"/>
                <w:highlight w:val="none"/>
              </w:rPr>
            </w:pPr>
          </w:p>
        </w:tc>
        <w:tc>
          <w:tcPr>
            <w:tcW w:w="98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3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120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58"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677"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82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center"/>
              <w:rPr>
                <w:rFonts w:ascii="宋体" w:hAnsi="宋体" w:cs="宋体"/>
                <w:color w:val="auto"/>
                <w:spacing w:val="-6"/>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700" w:type="dxa"/>
            <w:gridSpan w:val="11"/>
            <w:tcBorders>
              <w:top w:val="single" w:color="auto" w:sz="4" w:space="0"/>
              <w:left w:val="single" w:color="auto" w:sz="4" w:space="0"/>
              <w:bottom w:val="single" w:color="auto" w:sz="4" w:space="0"/>
              <w:right w:val="single" w:color="auto" w:sz="4" w:space="0"/>
            </w:tcBorders>
          </w:tcPr>
          <w:p>
            <w:pPr>
              <w:tabs>
                <w:tab w:val="left" w:pos="1418"/>
              </w:tabs>
              <w:snapToGrid w:val="0"/>
              <w:spacing w:line="288" w:lineRule="auto"/>
              <w:jc w:val="left"/>
              <w:rPr>
                <w:rFonts w:ascii="宋体" w:hAnsi="宋体" w:cs="宋体"/>
                <w:color w:val="auto"/>
                <w:spacing w:val="-6"/>
                <w:sz w:val="22"/>
                <w:highlight w:val="none"/>
                <w:u w:val="single"/>
              </w:rPr>
            </w:pPr>
            <w:r>
              <w:rPr>
                <w:rFonts w:hint="eastAsia" w:ascii="宋体" w:hAnsi="宋体" w:cs="宋体"/>
                <w:bCs/>
                <w:color w:val="auto"/>
                <w:sz w:val="22"/>
                <w:highlight w:val="none"/>
              </w:rPr>
              <w:t>合计总价</w:t>
            </w:r>
            <w:r>
              <w:rPr>
                <w:rFonts w:hint="eastAsia" w:ascii="宋体" w:hAnsi="宋体" w:cs="宋体"/>
                <w:color w:val="auto"/>
                <w:spacing w:val="-6"/>
                <w:sz w:val="22"/>
                <w:highlight w:val="none"/>
              </w:rPr>
              <w:t>：小写：</w:t>
            </w:r>
          </w:p>
          <w:p>
            <w:pPr>
              <w:tabs>
                <w:tab w:val="left" w:pos="1418"/>
              </w:tabs>
              <w:snapToGrid w:val="0"/>
              <w:spacing w:line="288" w:lineRule="auto"/>
              <w:ind w:firstLine="1040" w:firstLineChars="500"/>
              <w:jc w:val="left"/>
              <w:rPr>
                <w:rFonts w:ascii="宋体" w:hAnsi="宋体" w:cs="宋体"/>
                <w:color w:val="auto"/>
                <w:spacing w:val="-6"/>
                <w:sz w:val="22"/>
                <w:highlight w:val="none"/>
              </w:rPr>
            </w:pPr>
            <w:r>
              <w:rPr>
                <w:rFonts w:hint="eastAsia" w:ascii="宋体" w:hAnsi="宋体" w:cs="宋体"/>
                <w:color w:val="auto"/>
                <w:spacing w:val="-6"/>
                <w:sz w:val="22"/>
                <w:highlight w:val="none"/>
              </w:rPr>
              <w:t>大写：</w:t>
            </w:r>
          </w:p>
        </w:tc>
      </w:tr>
    </w:tbl>
    <w:p>
      <w:pPr>
        <w:spacing w:line="360" w:lineRule="auto"/>
        <w:rPr>
          <w:rFonts w:ascii="宋体" w:hAnsi="宋体"/>
          <w:b/>
          <w:color w:val="auto"/>
          <w:sz w:val="24"/>
          <w:highlight w:val="none"/>
        </w:rPr>
      </w:pPr>
      <w:r>
        <w:rPr>
          <w:rFonts w:hint="eastAsia" w:ascii="宋体" w:hAnsi="宋体"/>
          <w:b/>
          <w:color w:val="auto"/>
          <w:sz w:val="24"/>
          <w:highlight w:val="none"/>
        </w:rPr>
        <w:t xml:space="preserve">  技术参数：</w:t>
      </w:r>
    </w:p>
    <w:p>
      <w:pPr>
        <w:spacing w:line="360" w:lineRule="auto"/>
        <w:rPr>
          <w:rFonts w:ascii="宋体" w:hAnsi="宋体"/>
          <w:b/>
          <w:color w:val="auto"/>
          <w:sz w:val="24"/>
          <w:highlight w:val="none"/>
        </w:rPr>
      </w:pPr>
      <w:r>
        <w:rPr>
          <w:rFonts w:hint="eastAsia" w:ascii="宋体" w:hAnsi="宋体"/>
          <w:b/>
          <w:color w:val="auto"/>
          <w:sz w:val="24"/>
          <w:highlight w:val="none"/>
        </w:rPr>
        <w:t xml:space="preserve">            </w:t>
      </w:r>
    </w:p>
    <w:p>
      <w:pPr>
        <w:spacing w:line="360" w:lineRule="auto"/>
        <w:rPr>
          <w:rFonts w:ascii="宋体" w:hAnsi="宋体"/>
          <w:b/>
          <w:color w:val="auto"/>
          <w:sz w:val="24"/>
          <w:highlight w:val="none"/>
        </w:rPr>
      </w:pPr>
      <w:r>
        <w:rPr>
          <w:rFonts w:hint="eastAsia" w:ascii="宋体" w:hAnsi="宋体"/>
          <w:b/>
          <w:color w:val="auto"/>
          <w:sz w:val="24"/>
          <w:highlight w:val="none"/>
        </w:rPr>
        <w:t xml:space="preserve">                </w:t>
      </w:r>
    </w:p>
    <w:p>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甲方申请人签字：</w:t>
      </w:r>
      <w:r>
        <w:rPr>
          <w:rFonts w:hint="eastAsia" w:ascii="宋体" w:hAnsi="宋体"/>
          <w:b/>
          <w:color w:val="auto"/>
          <w:sz w:val="24"/>
          <w:highlight w:val="none"/>
          <w:u w:val="single"/>
        </w:rPr>
        <w:t xml:space="preserve">                         </w:t>
      </w:r>
    </w:p>
    <w:p>
      <w:pPr>
        <w:spacing w:line="360" w:lineRule="auto"/>
        <w:ind w:firstLine="4812" w:firstLineChars="1997"/>
        <w:rPr>
          <w:rFonts w:ascii="宋体" w:hAnsi="宋体"/>
          <w:b/>
          <w:color w:val="auto"/>
          <w:sz w:val="24"/>
          <w:highlight w:val="none"/>
        </w:rPr>
      </w:pPr>
      <w:r>
        <w:rPr>
          <w:rFonts w:hint="eastAsia" w:ascii="宋体" w:hAnsi="宋体"/>
          <w:b/>
          <w:color w:val="auto"/>
          <w:sz w:val="24"/>
          <w:highlight w:val="none"/>
        </w:rPr>
        <w:t xml:space="preserve">       联系电话：</w:t>
      </w:r>
      <w:r>
        <w:rPr>
          <w:rFonts w:hint="eastAsia" w:ascii="宋体" w:hAnsi="宋体"/>
          <w:b/>
          <w:color w:val="auto"/>
          <w:sz w:val="24"/>
          <w:highlight w:val="none"/>
          <w:u w:val="single"/>
        </w:rPr>
        <w:t xml:space="preserve">                   </w:t>
      </w:r>
    </w:p>
    <w:p>
      <w:pPr>
        <w:pStyle w:val="14"/>
        <w:spacing w:line="350" w:lineRule="exact"/>
        <w:ind w:left="1470" w:rightChars="0"/>
        <w:rPr>
          <w:color w:val="auto"/>
          <w:szCs w:val="21"/>
          <w:highlight w:val="none"/>
        </w:rPr>
      </w:pPr>
      <w:r>
        <w:rPr>
          <w:rFonts w:hint="eastAsia" w:ascii="宋体" w:hAnsi="宋体"/>
          <w:b/>
          <w:color w:val="auto"/>
          <w:sz w:val="24"/>
          <w:highlight w:val="none"/>
        </w:rPr>
        <w:t xml:space="preserve">         </w:t>
      </w:r>
      <w:r>
        <w:rPr>
          <w:rFonts w:hint="eastAsia"/>
          <w:b/>
          <w:color w:val="auto"/>
          <w:sz w:val="24"/>
          <w:highlight w:val="none"/>
        </w:rPr>
        <w:t xml:space="preserve">                          </w:t>
      </w:r>
      <w:r>
        <w:rPr>
          <w:rFonts w:hint="eastAsia" w:ascii="宋体" w:hAnsi="宋体"/>
          <w:b/>
          <w:color w:val="auto"/>
          <w:sz w:val="24"/>
          <w:highlight w:val="none"/>
        </w:rPr>
        <w:t>确认时间：</w:t>
      </w:r>
      <w:r>
        <w:rPr>
          <w:rFonts w:hint="eastAsia" w:ascii="宋体" w:hAnsi="宋体"/>
          <w:b/>
          <w:color w:val="auto"/>
          <w:sz w:val="24"/>
          <w:highlight w:val="none"/>
          <w:u w:val="single"/>
        </w:rPr>
        <w:t xml:space="preserve">                         </w:t>
      </w:r>
    </w:p>
    <w:p>
      <w:pPr>
        <w:spacing w:line="360" w:lineRule="auto"/>
        <w:rPr>
          <w:rFonts w:ascii="宋体" w:hAnsi="宋体"/>
          <w:b/>
          <w:color w:val="auto"/>
          <w:sz w:val="2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p>
    <w:p>
      <w:pPr>
        <w:tabs>
          <w:tab w:val="left" w:pos="4286"/>
        </w:tabs>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第四部分   附件</w:t>
      </w:r>
    </w:p>
    <w:p>
      <w:pPr>
        <w:snapToGrid w:val="0"/>
        <w:spacing w:before="120" w:beforeLines="50" w:after="50"/>
        <w:jc w:val="center"/>
        <w:outlineLvl w:val="1"/>
        <w:rPr>
          <w:rFonts w:ascii="宋体" w:hAnsi="宋体" w:cs="宋体"/>
          <w:b/>
          <w:color w:val="auto"/>
          <w:sz w:val="24"/>
          <w:highlight w:val="none"/>
        </w:rPr>
      </w:pPr>
      <w:r>
        <w:rPr>
          <w:rFonts w:hint="eastAsia" w:ascii="宋体" w:hAnsi="宋体" w:cs="宋体"/>
          <w:b/>
          <w:bCs/>
          <w:color w:val="auto"/>
          <w:sz w:val="24"/>
          <w:highlight w:val="none"/>
        </w:rPr>
        <w:t>一、报价文件部分格式</w:t>
      </w: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highlight w:val="none"/>
        </w:rPr>
      </w:pPr>
    </w:p>
    <w:p>
      <w:pPr>
        <w:snapToGrid w:val="0"/>
        <w:spacing w:before="50" w:after="12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pPr>
        <w:pStyle w:val="14"/>
        <w:ind w:left="0" w:leftChars="0" w:right="1470"/>
        <w:rPr>
          <w:rFonts w:ascii="宋体" w:hAnsi="宋体" w:cs="宋体"/>
          <w:b/>
          <w:color w:val="auto"/>
          <w:sz w:val="24"/>
          <w:szCs w:val="24"/>
          <w:highlight w:val="none"/>
        </w:rPr>
      </w:pPr>
    </w:p>
    <w:p>
      <w:pPr>
        <w:snapToGrid w:val="0"/>
        <w:spacing w:line="400" w:lineRule="exact"/>
        <w:jc w:val="center"/>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0" t="0" r="9525" b="8255"/>
                <wp:wrapTopAndBottom/>
                <wp:docPr id="1" name="1027"/>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ind w:left="-850" w:leftChars="-405"/>
                              <w:rPr>
                                <w:rFonts w:ascii="宋体" w:hAnsi="宋体"/>
                                <w:sz w:val="24"/>
                                <w:szCs w:val="20"/>
                              </w:rPr>
                            </w:pPr>
                          </w:p>
                          <w:p>
                            <w:pPr>
                              <w:pStyle w:val="27"/>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1027"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6LEN9kAAAAJAQAADwAAAAAAAAAB&#10;ACAAAAAiAAAAZHJzL2Rvd25yZXYueG1sUEsBAhQAFAAAAAgAh07iQP3AiRsPAgAAYQQAAA4AAAAA&#10;AAAAAQAgAAAAKAEAAGRycy9lMm9Eb2MueG1sUEsFBgAAAAAGAAYAWQEAAKkFAAAAAA==&#10;">
                <v:fill on="t" focussize="0,0"/>
                <v:stroke color="#000000" joinstyle="miter"/>
                <v:imagedata o:title=""/>
                <o:lock v:ext="edit" rotation="t" aspectratio="f"/>
                <v:textbox>
                  <w:txbxContent>
                    <w:p>
                      <w:pPr>
                        <w:snapToGrid w:val="0"/>
                        <w:spacing w:before="120" w:beforeLines="50" w:after="50"/>
                        <w:ind w:left="-850" w:leftChars="-405"/>
                        <w:rPr>
                          <w:rFonts w:ascii="宋体" w:hAnsi="宋体"/>
                          <w:sz w:val="24"/>
                          <w:szCs w:val="20"/>
                        </w:rPr>
                      </w:pPr>
                    </w:p>
                    <w:p>
                      <w:pPr>
                        <w:pStyle w:val="27"/>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line="400" w:lineRule="exact"/>
        <w:jc w:val="center"/>
        <w:outlineLvl w:val="1"/>
        <w:rPr>
          <w:rFonts w:ascii="宋体" w:hAnsi="宋体" w:cs="宋体"/>
          <w:color w:val="auto"/>
          <w:highlight w:val="none"/>
        </w:rPr>
      </w:pPr>
    </w:p>
    <w:p>
      <w:pPr>
        <w:snapToGrid w:val="0"/>
        <w:spacing w:line="400" w:lineRule="exact"/>
        <w:jc w:val="center"/>
        <w:outlineLvl w:val="1"/>
        <w:rPr>
          <w:rFonts w:ascii="宋体" w:hAnsi="宋体" w:cs="宋体"/>
          <w:color w:val="auto"/>
          <w:highlight w:val="none"/>
        </w:rPr>
      </w:pPr>
    </w:p>
    <w:p>
      <w:pPr>
        <w:snapToGrid w:val="0"/>
        <w:spacing w:line="400" w:lineRule="exact"/>
        <w:jc w:val="center"/>
        <w:outlineLvl w:val="1"/>
        <w:rPr>
          <w:rFonts w:ascii="宋体" w:hAnsi="宋体" w:cs="宋体"/>
          <w:bCs/>
          <w:color w:val="auto"/>
          <w:sz w:val="24"/>
          <w:szCs w:val="20"/>
          <w:highlight w:val="none"/>
        </w:rPr>
      </w:pPr>
    </w:p>
    <w:p>
      <w:pPr>
        <w:snapToGrid w:val="0"/>
        <w:spacing w:line="400" w:lineRule="exact"/>
        <w:jc w:val="center"/>
        <w:rPr>
          <w:rFonts w:ascii="宋体" w:hAnsi="宋体" w:cs="宋体"/>
          <w:b/>
          <w:color w:val="auto"/>
          <w:sz w:val="24"/>
          <w:highlight w:val="none"/>
        </w:rPr>
      </w:pPr>
      <w:r>
        <w:rPr>
          <w:rFonts w:hint="eastAsia" w:ascii="宋体" w:hAnsi="宋体" w:cs="宋体"/>
          <w:bCs/>
          <w:color w:val="auto"/>
          <w:sz w:val="24"/>
          <w:szCs w:val="20"/>
          <w:highlight w:val="none"/>
        </w:rPr>
        <w:br w:type="page"/>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开标一览表</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项目名称：                                        单位：人民币（元）</w:t>
      </w:r>
    </w:p>
    <w:tbl>
      <w:tblPr>
        <w:tblStyle w:val="28"/>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43"/>
        <w:gridCol w:w="1019"/>
        <w:gridCol w:w="1321"/>
        <w:gridCol w:w="1241"/>
        <w:gridCol w:w="2178"/>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pStyle w:val="15"/>
              <w:spacing w:line="400" w:lineRule="exact"/>
              <w:jc w:val="center"/>
              <w:rPr>
                <w:rFonts w:hAnsi="宋体" w:cs="宋体"/>
                <w:color w:val="auto"/>
                <w:sz w:val="22"/>
                <w:szCs w:val="22"/>
                <w:highlight w:val="none"/>
              </w:rPr>
            </w:pPr>
            <w:r>
              <w:rPr>
                <w:rFonts w:hint="eastAsia" w:hAnsi="宋体" w:cs="宋体"/>
                <w:color w:val="auto"/>
                <w:sz w:val="22"/>
                <w:szCs w:val="22"/>
                <w:highlight w:val="none"/>
              </w:rPr>
              <w:t>序号</w:t>
            </w:r>
          </w:p>
        </w:tc>
        <w:tc>
          <w:tcPr>
            <w:tcW w:w="2143" w:type="dxa"/>
            <w:vAlign w:val="center"/>
          </w:tcPr>
          <w:p>
            <w:pPr>
              <w:pStyle w:val="15"/>
              <w:spacing w:line="400" w:lineRule="exact"/>
              <w:jc w:val="center"/>
              <w:rPr>
                <w:rFonts w:hAnsi="宋体" w:cs="宋体"/>
                <w:color w:val="auto"/>
                <w:sz w:val="22"/>
                <w:szCs w:val="22"/>
                <w:highlight w:val="none"/>
              </w:rPr>
            </w:pPr>
            <w:r>
              <w:rPr>
                <w:rFonts w:hint="eastAsia" w:hAnsi="宋体" w:cs="宋体"/>
                <w:color w:val="auto"/>
                <w:sz w:val="22"/>
                <w:szCs w:val="22"/>
                <w:highlight w:val="none"/>
              </w:rPr>
              <w:t>报价内容</w:t>
            </w:r>
          </w:p>
        </w:tc>
        <w:tc>
          <w:tcPr>
            <w:tcW w:w="1019" w:type="dxa"/>
            <w:vAlign w:val="center"/>
          </w:tcPr>
          <w:p>
            <w:pPr>
              <w:pStyle w:val="15"/>
              <w:spacing w:line="400" w:lineRule="exact"/>
              <w:jc w:val="center"/>
              <w:rPr>
                <w:rFonts w:hAnsi="宋体" w:cs="宋体"/>
                <w:color w:val="auto"/>
                <w:sz w:val="22"/>
                <w:szCs w:val="22"/>
                <w:highlight w:val="none"/>
              </w:rPr>
            </w:pPr>
            <w:r>
              <w:rPr>
                <w:rFonts w:hint="eastAsia" w:hAnsi="宋体" w:cs="宋体"/>
                <w:color w:val="auto"/>
                <w:sz w:val="22"/>
                <w:szCs w:val="22"/>
                <w:highlight w:val="none"/>
              </w:rPr>
              <w:t>数量</w:t>
            </w:r>
          </w:p>
        </w:tc>
        <w:tc>
          <w:tcPr>
            <w:tcW w:w="1321" w:type="dxa"/>
            <w:vAlign w:val="center"/>
          </w:tcPr>
          <w:p>
            <w:pPr>
              <w:pStyle w:val="15"/>
              <w:spacing w:line="400" w:lineRule="exact"/>
              <w:jc w:val="center"/>
              <w:rPr>
                <w:rFonts w:hAnsi="宋体" w:cs="宋体"/>
                <w:color w:val="auto"/>
                <w:sz w:val="22"/>
                <w:szCs w:val="22"/>
                <w:highlight w:val="none"/>
              </w:rPr>
            </w:pPr>
            <w:r>
              <w:rPr>
                <w:rFonts w:hint="eastAsia" w:hAnsi="宋体" w:cs="宋体"/>
                <w:color w:val="auto"/>
                <w:sz w:val="22"/>
                <w:szCs w:val="22"/>
                <w:highlight w:val="none"/>
              </w:rPr>
              <w:t>单位</w:t>
            </w:r>
          </w:p>
        </w:tc>
        <w:tc>
          <w:tcPr>
            <w:tcW w:w="1241" w:type="dxa"/>
            <w:vAlign w:val="center"/>
          </w:tcPr>
          <w:p>
            <w:pPr>
              <w:pStyle w:val="15"/>
              <w:spacing w:line="400" w:lineRule="exact"/>
              <w:jc w:val="center"/>
              <w:rPr>
                <w:rFonts w:hAnsi="宋体" w:cs="宋体"/>
                <w:color w:val="auto"/>
                <w:sz w:val="22"/>
                <w:szCs w:val="22"/>
                <w:highlight w:val="none"/>
              </w:rPr>
            </w:pPr>
            <w:r>
              <w:rPr>
                <w:rFonts w:hint="eastAsia" w:hAnsi="宋体" w:cs="宋体"/>
                <w:color w:val="auto"/>
                <w:sz w:val="22"/>
                <w:szCs w:val="22"/>
                <w:highlight w:val="none"/>
              </w:rPr>
              <w:t>单价</w:t>
            </w:r>
          </w:p>
        </w:tc>
        <w:tc>
          <w:tcPr>
            <w:tcW w:w="2178" w:type="dxa"/>
            <w:vAlign w:val="center"/>
          </w:tcPr>
          <w:p>
            <w:pPr>
              <w:pStyle w:val="15"/>
              <w:spacing w:line="400" w:lineRule="exact"/>
              <w:jc w:val="center"/>
              <w:rPr>
                <w:rFonts w:hAnsi="宋体" w:cs="宋体"/>
                <w:color w:val="auto"/>
                <w:sz w:val="22"/>
                <w:szCs w:val="22"/>
                <w:highlight w:val="none"/>
              </w:rPr>
            </w:pPr>
            <w:r>
              <w:rPr>
                <w:rFonts w:hint="eastAsia" w:hAnsi="宋体" w:cs="宋体"/>
                <w:b/>
                <w:color w:val="auto"/>
                <w:sz w:val="22"/>
                <w:szCs w:val="22"/>
                <w:highlight w:val="none"/>
              </w:rPr>
              <w:t>投标总报价</w:t>
            </w:r>
          </w:p>
        </w:tc>
        <w:tc>
          <w:tcPr>
            <w:tcW w:w="809" w:type="dxa"/>
            <w:vAlign w:val="center"/>
          </w:tcPr>
          <w:p>
            <w:pPr>
              <w:pStyle w:val="15"/>
              <w:spacing w:line="400" w:lineRule="exact"/>
              <w:jc w:val="center"/>
              <w:rPr>
                <w:rFonts w:hAnsi="宋体" w:cs="宋体"/>
                <w:color w:val="auto"/>
                <w:sz w:val="22"/>
                <w:szCs w:val="22"/>
                <w:highlight w:val="none"/>
              </w:rPr>
            </w:pPr>
            <w:r>
              <w:rPr>
                <w:rFonts w:hint="eastAsia"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5" w:type="dxa"/>
            <w:vAlign w:val="center"/>
          </w:tcPr>
          <w:p>
            <w:pPr>
              <w:spacing w:line="3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143" w:type="dxa"/>
            <w:vAlign w:val="center"/>
          </w:tcPr>
          <w:p>
            <w:pPr>
              <w:spacing w:line="340" w:lineRule="exact"/>
              <w:jc w:val="center"/>
              <w:rPr>
                <w:rFonts w:ascii="宋体" w:hAnsi="宋体" w:cs="宋体"/>
                <w:color w:val="auto"/>
                <w:sz w:val="22"/>
                <w:szCs w:val="22"/>
                <w:highlight w:val="none"/>
              </w:rPr>
            </w:pPr>
          </w:p>
        </w:tc>
        <w:tc>
          <w:tcPr>
            <w:tcW w:w="1019" w:type="dxa"/>
            <w:vAlign w:val="center"/>
          </w:tcPr>
          <w:p>
            <w:pPr>
              <w:spacing w:line="400" w:lineRule="exact"/>
              <w:jc w:val="center"/>
              <w:rPr>
                <w:rFonts w:ascii="宋体" w:hAnsi="宋体" w:cs="宋体"/>
                <w:color w:val="auto"/>
                <w:sz w:val="22"/>
                <w:szCs w:val="22"/>
                <w:highlight w:val="none"/>
              </w:rPr>
            </w:pPr>
          </w:p>
        </w:tc>
        <w:tc>
          <w:tcPr>
            <w:tcW w:w="1321" w:type="dxa"/>
            <w:vAlign w:val="center"/>
          </w:tcPr>
          <w:p>
            <w:pPr>
              <w:spacing w:line="400" w:lineRule="exact"/>
              <w:jc w:val="center"/>
              <w:rPr>
                <w:rFonts w:ascii="宋体" w:hAnsi="宋体" w:cs="宋体"/>
                <w:color w:val="auto"/>
                <w:sz w:val="22"/>
                <w:szCs w:val="22"/>
                <w:highlight w:val="none"/>
              </w:rPr>
            </w:pPr>
          </w:p>
        </w:tc>
        <w:tc>
          <w:tcPr>
            <w:tcW w:w="1241" w:type="dxa"/>
            <w:vAlign w:val="center"/>
          </w:tcPr>
          <w:p>
            <w:pPr>
              <w:pStyle w:val="15"/>
              <w:spacing w:line="400" w:lineRule="exact"/>
              <w:jc w:val="center"/>
              <w:rPr>
                <w:rFonts w:hAnsi="宋体" w:cs="宋体"/>
                <w:color w:val="auto"/>
                <w:sz w:val="22"/>
                <w:szCs w:val="22"/>
                <w:highlight w:val="none"/>
              </w:rPr>
            </w:pPr>
          </w:p>
        </w:tc>
        <w:tc>
          <w:tcPr>
            <w:tcW w:w="2178" w:type="dxa"/>
            <w:vAlign w:val="center"/>
          </w:tcPr>
          <w:p>
            <w:pPr>
              <w:pStyle w:val="15"/>
              <w:spacing w:line="400" w:lineRule="exact"/>
              <w:rPr>
                <w:rFonts w:hAnsi="宋体" w:cs="宋体"/>
                <w:b/>
                <w:color w:val="auto"/>
                <w:sz w:val="22"/>
                <w:szCs w:val="22"/>
                <w:highlight w:val="none"/>
              </w:rPr>
            </w:pPr>
            <w:r>
              <w:rPr>
                <w:rFonts w:hint="eastAsia" w:hAnsi="宋体" w:cs="宋体"/>
                <w:b/>
                <w:color w:val="auto"/>
                <w:sz w:val="22"/>
                <w:szCs w:val="22"/>
                <w:highlight w:val="none"/>
              </w:rPr>
              <w:t>小写：</w:t>
            </w:r>
          </w:p>
          <w:p>
            <w:pPr>
              <w:pStyle w:val="15"/>
              <w:spacing w:line="400" w:lineRule="exact"/>
              <w:jc w:val="both"/>
              <w:rPr>
                <w:rFonts w:hAnsi="宋体" w:cs="宋体"/>
                <w:b/>
                <w:color w:val="auto"/>
                <w:sz w:val="22"/>
                <w:szCs w:val="22"/>
                <w:highlight w:val="none"/>
              </w:rPr>
            </w:pPr>
            <w:r>
              <w:rPr>
                <w:rFonts w:hint="eastAsia" w:hAnsi="宋体" w:cs="宋体"/>
                <w:b/>
                <w:color w:val="auto"/>
                <w:sz w:val="22"/>
                <w:szCs w:val="22"/>
                <w:highlight w:val="none"/>
              </w:rPr>
              <w:t>大写：</w:t>
            </w:r>
          </w:p>
        </w:tc>
        <w:tc>
          <w:tcPr>
            <w:tcW w:w="809" w:type="dxa"/>
            <w:vAlign w:val="center"/>
          </w:tcPr>
          <w:p>
            <w:pPr>
              <w:pStyle w:val="15"/>
              <w:spacing w:line="400" w:lineRule="exact"/>
              <w:jc w:val="center"/>
              <w:rPr>
                <w:rFonts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5" w:type="dxa"/>
            <w:vAlign w:val="center"/>
          </w:tcPr>
          <w:p>
            <w:pPr>
              <w:pStyle w:val="15"/>
              <w:spacing w:line="400" w:lineRule="exact"/>
              <w:jc w:val="center"/>
              <w:rPr>
                <w:rFonts w:hAnsi="宋体" w:cs="宋体"/>
                <w:b/>
                <w:color w:val="auto"/>
                <w:sz w:val="22"/>
                <w:szCs w:val="22"/>
                <w:highlight w:val="none"/>
              </w:rPr>
            </w:pPr>
            <w:r>
              <w:rPr>
                <w:rFonts w:hint="eastAsia" w:hAnsi="宋体" w:cs="宋体"/>
                <w:b/>
                <w:color w:val="auto"/>
                <w:sz w:val="22"/>
                <w:szCs w:val="22"/>
                <w:highlight w:val="none"/>
              </w:rPr>
              <w:t>交付时间：</w:t>
            </w:r>
          </w:p>
        </w:tc>
        <w:tc>
          <w:tcPr>
            <w:tcW w:w="8711" w:type="dxa"/>
            <w:gridSpan w:val="6"/>
            <w:vAlign w:val="center"/>
          </w:tcPr>
          <w:p>
            <w:pPr>
              <w:pStyle w:val="15"/>
              <w:spacing w:line="400" w:lineRule="exact"/>
              <w:rPr>
                <w:rFonts w:hAnsi="宋体" w:cs="宋体"/>
                <w:b/>
                <w:color w:val="auto"/>
                <w:sz w:val="22"/>
                <w:szCs w:val="22"/>
                <w:highlight w:val="none"/>
              </w:rPr>
            </w:pPr>
          </w:p>
        </w:tc>
      </w:tr>
    </w:tbl>
    <w:p>
      <w:pPr>
        <w:spacing w:line="400" w:lineRule="exact"/>
        <w:rPr>
          <w:rFonts w:ascii="宋体" w:hAnsi="宋体" w:cs="宋体"/>
          <w:color w:val="auto"/>
          <w:sz w:val="22"/>
          <w:szCs w:val="22"/>
          <w:highlight w:val="none"/>
        </w:rPr>
      </w:pPr>
    </w:p>
    <w:p>
      <w:pPr>
        <w:spacing w:line="380" w:lineRule="exact"/>
        <w:rPr>
          <w:color w:val="auto"/>
          <w:sz w:val="22"/>
          <w:szCs w:val="22"/>
          <w:highlight w:val="none"/>
        </w:rPr>
      </w:pPr>
      <w:r>
        <w:rPr>
          <w:rFonts w:hint="eastAsia" w:ascii="宋体" w:hAnsi="宋体" w:cs="宋体"/>
          <w:color w:val="auto"/>
          <w:sz w:val="22"/>
          <w:szCs w:val="22"/>
          <w:highlight w:val="none"/>
        </w:rPr>
        <w:t>备注：1、投标总报价是指投标人在正确地完全履行合同义务后采购人应支付给投标人所有的货物价款，即货物的供货、包装、运输、装卸、安装调试、验收（含第三方验收）、质保期内软件升级、采购代理服务费、售后服务、材料税费、搬运费、税费以及完成合同所需的一切本身和不可或缺的所有工作开支、政策性文件规定，合同包含的所有风险、责任等相关各项其他可能产生的全部费用。实行固定费用总包干，投标人应根据上述因素自行考虑含入投标总价。</w:t>
      </w:r>
    </w:p>
    <w:p>
      <w:pPr>
        <w:numPr>
          <w:ilvl w:val="0"/>
          <w:numId w:val="4"/>
        </w:numPr>
        <w:spacing w:line="380" w:lineRule="exact"/>
        <w:ind w:left="0" w:firstLine="440"/>
        <w:outlineLvl w:val="0"/>
        <w:rPr>
          <w:rFonts w:ascii="宋体" w:hAnsi="宋体" w:cs="宋体"/>
          <w:color w:val="auto"/>
          <w:sz w:val="22"/>
          <w:szCs w:val="22"/>
          <w:highlight w:val="none"/>
        </w:rPr>
      </w:pPr>
      <w:r>
        <w:rPr>
          <w:rFonts w:hint="eastAsia" w:ascii="宋体" w:hAnsi="宋体" w:cs="宋体"/>
          <w:color w:val="auto"/>
          <w:sz w:val="22"/>
          <w:szCs w:val="22"/>
          <w:highlight w:val="none"/>
        </w:rPr>
        <w:t>此栏内投标报价应与“投标报价明细表”中投标总价相一致。</w:t>
      </w:r>
    </w:p>
    <w:p>
      <w:pPr>
        <w:numPr>
          <w:ilvl w:val="0"/>
          <w:numId w:val="4"/>
        </w:numPr>
        <w:spacing w:line="380" w:lineRule="exact"/>
        <w:ind w:left="0" w:firstLine="440"/>
        <w:outlineLvl w:val="0"/>
        <w:rPr>
          <w:rFonts w:ascii="宋体" w:hAnsi="宋体" w:cs="宋体"/>
          <w:bCs/>
          <w:color w:val="auto"/>
          <w:sz w:val="22"/>
          <w:szCs w:val="22"/>
          <w:highlight w:val="none"/>
          <w:u w:val="single"/>
        </w:rPr>
      </w:pPr>
      <w:r>
        <w:rPr>
          <w:rFonts w:hint="eastAsia" w:ascii="宋体" w:hAnsi="宋体" w:cs="宋体"/>
          <w:color w:val="auto"/>
          <w:spacing w:val="-6"/>
          <w:sz w:val="22"/>
          <w:szCs w:val="22"/>
          <w:highlight w:val="none"/>
        </w:rPr>
        <w:t>客户端填写的报价与以</w:t>
      </w:r>
      <w:r>
        <w:rPr>
          <w:rFonts w:ascii="宋体" w:hAnsi="宋体" w:cs="宋体"/>
          <w:color w:val="auto"/>
          <w:spacing w:val="-6"/>
          <w:sz w:val="22"/>
          <w:szCs w:val="22"/>
          <w:highlight w:val="none"/>
        </w:rPr>
        <w:t>pdf</w:t>
      </w:r>
      <w:r>
        <w:rPr>
          <w:rFonts w:hint="eastAsia" w:ascii="宋体" w:hAnsi="宋体" w:cs="宋体"/>
          <w:color w:val="auto"/>
          <w:spacing w:val="-6"/>
          <w:sz w:val="22"/>
          <w:szCs w:val="22"/>
          <w:highlight w:val="none"/>
        </w:rPr>
        <w:t>格式上传文件中的报价不一致的，应以</w:t>
      </w:r>
      <w:r>
        <w:rPr>
          <w:rFonts w:ascii="宋体" w:hAnsi="宋体" w:cs="宋体"/>
          <w:color w:val="auto"/>
          <w:spacing w:val="-6"/>
          <w:sz w:val="22"/>
          <w:szCs w:val="22"/>
          <w:highlight w:val="none"/>
        </w:rPr>
        <w:t>Pdf</w:t>
      </w:r>
      <w:r>
        <w:rPr>
          <w:rFonts w:hint="eastAsia" w:ascii="宋体" w:hAnsi="宋体" w:cs="宋体"/>
          <w:color w:val="auto"/>
          <w:spacing w:val="-6"/>
          <w:sz w:val="22"/>
          <w:szCs w:val="22"/>
          <w:highlight w:val="none"/>
        </w:rPr>
        <w:t>格式上传文件中的报价为准。</w:t>
      </w:r>
    </w:p>
    <w:p>
      <w:pPr>
        <w:numPr>
          <w:ilvl w:val="0"/>
          <w:numId w:val="4"/>
        </w:numPr>
        <w:spacing w:line="380" w:lineRule="exact"/>
        <w:ind w:left="0" w:firstLine="440"/>
        <w:outlineLvl w:val="0"/>
        <w:rPr>
          <w:rFonts w:ascii="宋体" w:hAnsi="宋体" w:cs="宋体"/>
          <w:bCs/>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pacing w:val="-6"/>
          <w:sz w:val="22"/>
          <w:szCs w:val="22"/>
          <w:highlight w:val="none"/>
          <w:u w:val="single"/>
        </w:rPr>
        <w:t>不提供报价明细表将视为没有明确响应招标文件。</w:t>
      </w:r>
    </w:p>
    <w:p>
      <w:pPr>
        <w:widowControl/>
        <w:spacing w:line="400" w:lineRule="exact"/>
        <w:rPr>
          <w:rFonts w:hint="eastAsia" w:ascii="宋体" w:hAnsi="宋体" w:cs="宋体"/>
          <w:color w:val="auto"/>
          <w:kern w:val="0"/>
          <w:sz w:val="22"/>
          <w:szCs w:val="22"/>
          <w:highlight w:val="none"/>
        </w:rPr>
      </w:pPr>
    </w:p>
    <w:p>
      <w:pPr>
        <w:widowControl/>
        <w:spacing w:line="400" w:lineRule="exact"/>
        <w:rPr>
          <w:rFonts w:hint="eastAsia" w:ascii="宋体" w:hAnsi="宋体" w:cs="宋体"/>
          <w:color w:val="auto"/>
          <w:kern w:val="0"/>
          <w:sz w:val="22"/>
          <w:szCs w:val="22"/>
          <w:highlight w:val="none"/>
        </w:rPr>
      </w:pPr>
    </w:p>
    <w:p>
      <w:pPr>
        <w:widowControl/>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投标人全称(电子签章)：</w:t>
      </w:r>
    </w:p>
    <w:p>
      <w:pPr>
        <w:widowControl/>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法定代表人或授权代表(签字或盖章)：</w:t>
      </w:r>
    </w:p>
    <w:p>
      <w:pPr>
        <w:snapToGrid w:val="0"/>
        <w:spacing w:line="4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pPr>
        <w:spacing w:line="400" w:lineRule="exact"/>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rPr>
          <w:rFonts w:ascii="宋体" w:hAnsi="宋体" w:cs="宋体"/>
          <w:b/>
          <w:color w:val="auto"/>
          <w:sz w:val="24"/>
          <w:szCs w:val="24"/>
          <w:highlight w:val="none"/>
        </w:rPr>
      </w:pPr>
    </w:p>
    <w:p>
      <w:pPr>
        <w:pStyle w:val="2"/>
        <w:rPr>
          <w:color w:val="auto"/>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pPr>
        <w:pStyle w:val="15"/>
        <w:snapToGrid w:val="0"/>
        <w:spacing w:line="400" w:lineRule="exact"/>
        <w:jc w:val="center"/>
        <w:rPr>
          <w:rFonts w:hAnsi="宋体" w:cs="宋体"/>
          <w:b/>
          <w:color w:val="auto"/>
          <w:highlight w:val="none"/>
        </w:rPr>
      </w:pPr>
      <w:r>
        <w:rPr>
          <w:rFonts w:hint="eastAsia" w:hAnsi="宋体" w:cs="宋体"/>
          <w:b/>
          <w:color w:val="auto"/>
          <w:highlight w:val="none"/>
        </w:rPr>
        <w:t>投标报价明细表</w:t>
      </w:r>
    </w:p>
    <w:p>
      <w:pPr>
        <w:pStyle w:val="15"/>
        <w:snapToGrid w:val="0"/>
        <w:spacing w:line="400" w:lineRule="exact"/>
        <w:jc w:val="center"/>
        <w:rPr>
          <w:rFonts w:hAnsi="宋体" w:cs="宋体"/>
          <w:b/>
          <w:color w:val="auto"/>
          <w:highlight w:val="none"/>
        </w:rPr>
      </w:pP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highlight w:val="none"/>
        </w:rPr>
        <w:t>项目名</w:t>
      </w:r>
      <w:r>
        <w:rPr>
          <w:rFonts w:hint="eastAsia" w:ascii="宋体" w:hAnsi="宋体" w:cs="宋体"/>
          <w:color w:val="auto"/>
          <w:sz w:val="22"/>
          <w:szCs w:val="22"/>
          <w:highlight w:val="none"/>
        </w:rPr>
        <w:t xml:space="preserve">称：                        项目编号：       </w:t>
      </w:r>
    </w:p>
    <w:tbl>
      <w:tblPr>
        <w:tblStyle w:val="2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219"/>
        <w:gridCol w:w="903"/>
        <w:gridCol w:w="713"/>
        <w:gridCol w:w="1230"/>
        <w:gridCol w:w="853"/>
        <w:gridCol w:w="722"/>
        <w:gridCol w:w="1301"/>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szCs w:val="22"/>
                <w:highlight w:val="none"/>
              </w:rPr>
            </w:pPr>
            <w:r>
              <w:rPr>
                <w:rFonts w:hint="eastAsia" w:ascii="宋体" w:hAnsi="宋体" w:cs="宋体"/>
                <w:color w:val="auto"/>
                <w:sz w:val="22"/>
                <w:szCs w:val="22"/>
                <w:highlight w:val="none"/>
              </w:rPr>
              <w:t>序号</w:t>
            </w:r>
          </w:p>
        </w:tc>
        <w:tc>
          <w:tcPr>
            <w:tcW w:w="121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szCs w:val="22"/>
                <w:highlight w:val="none"/>
              </w:rPr>
            </w:pPr>
            <w:r>
              <w:rPr>
                <w:rFonts w:hint="eastAsia" w:ascii="宋体" w:hAnsi="宋体" w:cs="宋体"/>
                <w:color w:val="auto"/>
                <w:sz w:val="22"/>
                <w:szCs w:val="22"/>
                <w:highlight w:val="none"/>
              </w:rPr>
              <w:t>货物名称</w:t>
            </w:r>
          </w:p>
        </w:tc>
        <w:tc>
          <w:tcPr>
            <w:tcW w:w="9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制造商</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color w:val="auto"/>
                <w:spacing w:val="20"/>
                <w:sz w:val="22"/>
                <w:szCs w:val="22"/>
                <w:highlight w:val="none"/>
              </w:rPr>
            </w:pPr>
            <w:r>
              <w:rPr>
                <w:rFonts w:hint="eastAsia" w:ascii="宋体" w:hAnsi="宋体" w:cs="宋体"/>
                <w:color w:val="auto"/>
                <w:sz w:val="22"/>
                <w:szCs w:val="22"/>
                <w:highlight w:val="none"/>
              </w:rPr>
              <w:t>单价（元）</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color w:val="auto"/>
                <w:spacing w:val="20"/>
                <w:sz w:val="22"/>
                <w:szCs w:val="22"/>
                <w:highlight w:val="none"/>
              </w:rPr>
            </w:pPr>
            <w:r>
              <w:rPr>
                <w:rFonts w:hint="eastAsia" w:ascii="宋体" w:hAnsi="宋体" w:cs="宋体"/>
                <w:color w:val="auto"/>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2"/>
                <w:szCs w:val="22"/>
                <w:highlight w:val="none"/>
              </w:rPr>
            </w:pPr>
          </w:p>
        </w:tc>
        <w:tc>
          <w:tcPr>
            <w:tcW w:w="90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2"/>
                <w:szCs w:val="22"/>
                <w:highlight w:val="none"/>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color w:val="auto"/>
                <w:spacing w:val="20"/>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color w:val="auto"/>
                <w:spacing w:val="20"/>
                <w:sz w:val="22"/>
                <w:szCs w:val="22"/>
                <w:highlight w:val="none"/>
              </w:rPr>
            </w:pPr>
            <w:r>
              <w:rPr>
                <w:rFonts w:hint="eastAsia" w:ascii="宋体" w:hAnsi="宋体" w:cs="宋体"/>
                <w:color w:val="auto"/>
                <w:sz w:val="22"/>
                <w:szCs w:val="22"/>
                <w:highlight w:val="none"/>
              </w:rPr>
              <w:t>投标总价（与开标一览表一致）：</w:t>
            </w:r>
          </w:p>
        </w:tc>
      </w:tr>
    </w:tbl>
    <w:p>
      <w:pPr>
        <w:spacing w:line="360" w:lineRule="exact"/>
        <w:rPr>
          <w:rFonts w:ascii="宋体" w:hAnsi="宋体" w:cs="宋体"/>
          <w:color w:val="auto"/>
          <w:sz w:val="22"/>
          <w:szCs w:val="22"/>
          <w:highlight w:val="none"/>
        </w:rPr>
      </w:pPr>
      <w:r>
        <w:rPr>
          <w:rFonts w:hint="eastAsia" w:ascii="宋体" w:hAnsi="宋体" w:cs="宋体"/>
          <w:color w:val="auto"/>
          <w:sz w:val="22"/>
          <w:szCs w:val="22"/>
          <w:highlight w:val="none"/>
        </w:rPr>
        <w:t>备注：1、“报价明细表”内“投标总价”应与附件1“开标一览表”中“投标总报价”相一致。</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2、如果含在产品价格中则填“含”，如无此项内容则填“无”，不留空白。此表投标人可根据实际需求自行编制。</w:t>
      </w:r>
    </w:p>
    <w:p>
      <w:pPr>
        <w:spacing w:line="380" w:lineRule="exact"/>
        <w:ind w:left="440"/>
        <w:outlineLvl w:val="0"/>
        <w:rPr>
          <w:rFonts w:ascii="宋体" w:hAnsi="宋体" w:cs="宋体"/>
          <w:color w:val="auto"/>
          <w:spacing w:val="-6"/>
          <w:sz w:val="22"/>
          <w:szCs w:val="22"/>
          <w:highlight w:val="none"/>
          <w:u w:val="single"/>
        </w:rPr>
      </w:pPr>
      <w:r>
        <w:rPr>
          <w:rFonts w:hint="eastAsia" w:ascii="宋体" w:hAnsi="宋体" w:cs="宋体"/>
          <w:color w:val="auto"/>
          <w:sz w:val="22"/>
          <w:szCs w:val="22"/>
          <w:highlight w:val="none"/>
        </w:rPr>
        <w:t>3、</w:t>
      </w:r>
      <w:r>
        <w:rPr>
          <w:rFonts w:hint="eastAsia" w:ascii="宋体" w:hAnsi="宋体" w:cs="宋体"/>
          <w:color w:val="auto"/>
          <w:sz w:val="22"/>
          <w:szCs w:val="22"/>
          <w:highlight w:val="none"/>
          <w:u w:val="single"/>
        </w:rPr>
        <w:t>▲</w:t>
      </w:r>
      <w:r>
        <w:rPr>
          <w:rFonts w:hint="eastAsia" w:ascii="宋体" w:hAnsi="宋体" w:cs="宋体"/>
          <w:color w:val="auto"/>
          <w:spacing w:val="-6"/>
          <w:sz w:val="22"/>
          <w:szCs w:val="22"/>
          <w:highlight w:val="none"/>
          <w:u w:val="single"/>
        </w:rPr>
        <w:t>不提供报价明细表将视为没有明确响应招标文件。</w:t>
      </w:r>
    </w:p>
    <w:p>
      <w:pPr>
        <w:spacing w:line="380" w:lineRule="exact"/>
        <w:ind w:firstLine="416" w:firstLineChars="200"/>
        <w:outlineLvl w:val="0"/>
        <w:rPr>
          <w:rFonts w:ascii="宋体" w:hAnsi="宋体" w:cs="宋体"/>
          <w:color w:val="auto"/>
          <w:sz w:val="22"/>
          <w:szCs w:val="22"/>
          <w:highlight w:val="none"/>
        </w:rPr>
      </w:pPr>
      <w:r>
        <w:rPr>
          <w:rFonts w:hint="eastAsia" w:ascii="宋体" w:hAnsi="宋体" w:cs="宋体"/>
          <w:color w:val="auto"/>
          <w:spacing w:val="-6"/>
          <w:sz w:val="22"/>
          <w:szCs w:val="22"/>
          <w:highlight w:val="none"/>
        </w:rPr>
        <w:t>4、</w:t>
      </w:r>
      <w:r>
        <w:rPr>
          <w:rFonts w:hint="eastAsia" w:ascii="宋体" w:hAnsi="宋体" w:cs="宋体"/>
          <w:color w:val="auto"/>
          <w:sz w:val="22"/>
          <w:szCs w:val="22"/>
          <w:highlight w:val="none"/>
        </w:rPr>
        <w:t>在中标或者成交公告的内容中增加本表，请各投标人认真填写，确保报价数据的真实性、完整性和合理性。</w:t>
      </w:r>
    </w:p>
    <w:p>
      <w:pPr>
        <w:spacing w:line="400" w:lineRule="exact"/>
        <w:ind w:firstLine="440" w:firstLineChars="200"/>
        <w:rPr>
          <w:rFonts w:ascii="宋体" w:hAnsi="宋体" w:cs="宋体"/>
          <w:color w:val="auto"/>
          <w:sz w:val="22"/>
          <w:szCs w:val="22"/>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b/>
          <w:color w:val="auto"/>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pStyle w:val="2"/>
        <w:rPr>
          <w:color w:val="auto"/>
          <w:highlight w:val="none"/>
        </w:rPr>
      </w:pPr>
    </w:p>
    <w:p>
      <w:pPr>
        <w:spacing w:line="400" w:lineRule="exact"/>
        <w:rPr>
          <w:rFonts w:ascii="宋体" w:hAnsi="宋体" w:cs="宋体"/>
          <w:color w:val="auto"/>
          <w:highlight w:val="none"/>
        </w:rPr>
      </w:pPr>
      <w:r>
        <w:rPr>
          <w:rFonts w:hint="eastAsia" w:ascii="宋体" w:hAnsi="宋体" w:cs="宋体"/>
          <w:b/>
          <w:color w:val="auto"/>
          <w:sz w:val="24"/>
          <w:szCs w:val="24"/>
          <w:highlight w:val="none"/>
        </w:rPr>
        <w:t>附件3</w:t>
      </w:r>
    </w:p>
    <w:p>
      <w:pPr>
        <w:widowControl/>
        <w:spacing w:line="400" w:lineRule="exact"/>
        <w:jc w:val="center"/>
        <w:rPr>
          <w:rFonts w:ascii="宋体" w:hAnsi="宋体" w:cs="宋体"/>
          <w:b/>
          <w:bCs/>
          <w:color w:val="auto"/>
          <w:sz w:val="32"/>
          <w:highlight w:val="none"/>
        </w:rPr>
      </w:pPr>
      <w:r>
        <w:rPr>
          <w:rFonts w:hint="eastAsia" w:ascii="宋体" w:hAnsi="宋体" w:cs="宋体"/>
          <w:b/>
          <w:bCs/>
          <w:color w:val="auto"/>
          <w:sz w:val="24"/>
          <w:highlight w:val="none"/>
        </w:rPr>
        <w:t>小微企业证明材料（加盖电子签章）（非小微企业不用提供）</w:t>
      </w:r>
    </w:p>
    <w:p>
      <w:pPr>
        <w:widowControl/>
        <w:adjustRightInd w:val="0"/>
        <w:snapToGrid w:val="0"/>
        <w:spacing w:line="324" w:lineRule="auto"/>
        <w:ind w:firstLine="440" w:firstLineChars="200"/>
        <w:jc w:val="center"/>
        <w:rPr>
          <w:rFonts w:ascii="宋体" w:hAnsi="宋体" w:cs="宋体"/>
          <w:color w:val="auto"/>
          <w:kern w:val="0"/>
          <w:sz w:val="22"/>
          <w:highlight w:val="none"/>
        </w:rPr>
      </w:pPr>
    </w:p>
    <w:p>
      <w:pPr>
        <w:pStyle w:val="25"/>
        <w:spacing w:before="0" w:beforeAutospacing="0" w:after="0" w:afterAutospacing="0" w:line="400" w:lineRule="exact"/>
        <w:jc w:val="center"/>
        <w:rPr>
          <w:b/>
          <w:bCs/>
          <w:color w:val="auto"/>
          <w:sz w:val="28"/>
          <w:szCs w:val="28"/>
          <w:highlight w:val="none"/>
        </w:rPr>
      </w:pPr>
      <w:r>
        <w:rPr>
          <w:rFonts w:hint="eastAsia"/>
          <w:b/>
          <w:bCs/>
          <w:color w:val="auto"/>
          <w:sz w:val="28"/>
          <w:szCs w:val="28"/>
          <w:highlight w:val="none"/>
        </w:rPr>
        <w:t>中小企业声明函（货物）</w:t>
      </w:r>
    </w:p>
    <w:p>
      <w:pPr>
        <w:pStyle w:val="25"/>
        <w:spacing w:before="0" w:beforeAutospacing="0" w:after="0" w:afterAutospacing="0" w:line="400" w:lineRule="exact"/>
        <w:jc w:val="center"/>
        <w:rPr>
          <w:color w:val="auto"/>
          <w:sz w:val="28"/>
          <w:szCs w:val="28"/>
          <w:highlight w:val="none"/>
        </w:rPr>
      </w:pPr>
    </w:p>
    <w:p>
      <w:pPr>
        <w:pStyle w:val="68"/>
        <w:spacing w:line="376" w:lineRule="exact"/>
        <w:ind w:firstLine="460"/>
        <w:rPr>
          <w:color w:val="auto"/>
          <w:sz w:val="24"/>
          <w:szCs w:val="24"/>
          <w:highlight w:val="none"/>
        </w:rPr>
      </w:pPr>
      <w:r>
        <w:rPr>
          <w:rFonts w:hint="eastAsia"/>
          <w:color w:val="auto"/>
          <w:sz w:val="24"/>
          <w:szCs w:val="24"/>
          <w:highlight w:val="none"/>
        </w:rPr>
        <w:t>本公司郑重声明，根据《政府采购促进中小企业发展管理办法》（财库（2020）46号）的规定，本公司参加</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w:t>
      </w:r>
      <w:r>
        <w:rPr>
          <w:rFonts w:hint="eastAsia"/>
          <w:color w:val="auto"/>
          <w:sz w:val="24"/>
          <w:szCs w:val="24"/>
          <w:highlight w:val="none"/>
          <w:u w:val="single"/>
          <w:lang w:val="en-US" w:eastAsia="zh-CN"/>
        </w:rPr>
        <w:t>单位</w:t>
      </w:r>
      <w:r>
        <w:rPr>
          <w:rFonts w:hint="eastAsia"/>
          <w:color w:val="auto"/>
          <w:sz w:val="24"/>
          <w:szCs w:val="24"/>
          <w:highlight w:val="none"/>
          <w:u w:val="single"/>
        </w:rPr>
        <w:t>名</w:t>
      </w:r>
      <w:r>
        <w:rPr>
          <w:rFonts w:hint="eastAsia"/>
          <w:color w:val="auto"/>
          <w:sz w:val="24"/>
          <w:szCs w:val="24"/>
          <w:highlight w:val="none"/>
          <w:u w:val="single"/>
          <w:lang w:val="en-US" w:eastAsia="zh-CN" w:bidi="en-US"/>
        </w:rPr>
        <w:t>称）</w:t>
      </w:r>
      <w:r>
        <w:rPr>
          <w:rFonts w:hint="eastAsia"/>
          <w:color w:val="auto"/>
          <w:sz w:val="24"/>
          <w:szCs w:val="24"/>
          <w:highlight w:val="none"/>
        </w:rPr>
        <w:t>的</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（项目名称）</w:t>
      </w:r>
      <w:r>
        <w:rPr>
          <w:rFonts w:hint="eastAsia"/>
          <w:color w:val="auto"/>
          <w:sz w:val="24"/>
          <w:szCs w:val="24"/>
          <w:highlight w:val="none"/>
        </w:rPr>
        <w:t>釆购活动</w:t>
      </w:r>
      <w:r>
        <w:rPr>
          <w:rFonts w:hint="eastAsia"/>
          <w:color w:val="auto"/>
          <w:sz w:val="24"/>
          <w:szCs w:val="24"/>
          <w:highlight w:val="none"/>
          <w:lang w:eastAsia="zh-CN"/>
        </w:rPr>
        <w:t>，</w:t>
      </w:r>
      <w:r>
        <w:rPr>
          <w:rFonts w:hint="eastAsia"/>
          <w:color w:val="auto"/>
          <w:sz w:val="24"/>
          <w:szCs w:val="24"/>
          <w:highlight w:val="none"/>
        </w:rPr>
        <w:t>提供的货物全部由符合政策要求的中小企业制造。相关企业的具体情况如下：</w:t>
      </w:r>
    </w:p>
    <w:p>
      <w:pPr>
        <w:pStyle w:val="68"/>
        <w:numPr>
          <w:ilvl w:val="0"/>
          <w:numId w:val="5"/>
        </w:numPr>
        <w:tabs>
          <w:tab w:val="left" w:pos="908"/>
          <w:tab w:val="left" w:pos="921"/>
          <w:tab w:val="left" w:pos="3178"/>
          <w:tab w:val="left" w:pos="4761"/>
        </w:tabs>
        <w:spacing w:line="370" w:lineRule="exact"/>
        <w:ind w:firstLine="460"/>
        <w:rPr>
          <w:color w:val="auto"/>
          <w:sz w:val="24"/>
          <w:szCs w:val="24"/>
          <w:highlight w:val="none"/>
        </w:rPr>
      </w:pPr>
      <w:bookmarkStart w:id="0" w:name="bookmark0"/>
      <w:bookmarkEnd w:id="0"/>
      <w:r>
        <w:rPr>
          <w:rFonts w:hint="eastAsia"/>
          <w:color w:val="auto"/>
          <w:sz w:val="24"/>
          <w:szCs w:val="24"/>
          <w:highlight w:val="none"/>
          <w:u w:val="single"/>
          <w:lang w:val="en-US" w:eastAsia="zh-CN"/>
        </w:rPr>
        <w:t xml:space="preserve">             </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lang w:val="en-US" w:eastAsia="zh-CN"/>
        </w:rPr>
        <w:t>工业</w:t>
      </w:r>
      <w:r>
        <w:rPr>
          <w:rFonts w:hint="eastAsia"/>
          <w:color w:val="auto"/>
          <w:sz w:val="24"/>
          <w:szCs w:val="24"/>
          <w:highlight w:val="none"/>
          <w:u w:val="single"/>
        </w:rPr>
        <w:t>（采购文件中明确的所属行业）</w:t>
      </w:r>
      <w:r>
        <w:rPr>
          <w:rFonts w:hint="eastAsia"/>
          <w:i/>
          <w:iCs/>
          <w:color w:val="auto"/>
          <w:sz w:val="24"/>
          <w:szCs w:val="24"/>
          <w:highlight w:val="none"/>
          <w:u w:val="single"/>
        </w:rPr>
        <w:t xml:space="preserve"> </w:t>
      </w:r>
      <w:r>
        <w:rPr>
          <w:rFonts w:hint="eastAsia"/>
          <w:color w:val="auto"/>
          <w:sz w:val="24"/>
          <w:szCs w:val="24"/>
          <w:highlight w:val="none"/>
          <w:lang w:val="en-US" w:eastAsia="zh-CN"/>
        </w:rPr>
        <w:t>行</w:t>
      </w:r>
      <w:r>
        <w:rPr>
          <w:rFonts w:hint="eastAsia"/>
          <w:color w:val="auto"/>
          <w:sz w:val="24"/>
          <w:szCs w:val="24"/>
          <w:highlight w:val="none"/>
        </w:rPr>
        <w:t>业；制造商为</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（企业名称）</w:t>
      </w:r>
      <w:r>
        <w:rPr>
          <w:rFonts w:hint="eastAsia"/>
          <w:i/>
          <w:iCs/>
          <w:color w:val="auto"/>
          <w:sz w:val="24"/>
          <w:szCs w:val="24"/>
          <w:highlight w:val="none"/>
        </w:rPr>
        <w:t>、</w:t>
      </w:r>
      <w:r>
        <w:rPr>
          <w:rFonts w:hint="eastAsia"/>
          <w:color w:val="auto"/>
          <w:sz w:val="24"/>
          <w:szCs w:val="24"/>
          <w:highlight w:val="none"/>
        </w:rPr>
        <w:t>从业人员</w:t>
      </w:r>
      <w:r>
        <w:rPr>
          <w:rFonts w:hint="eastAsia"/>
          <w:color w:val="auto"/>
          <w:sz w:val="24"/>
          <w:szCs w:val="24"/>
          <w:highlight w:val="none"/>
          <w:u w:val="single"/>
          <w:lang w:val="en-US" w:eastAsia="zh-CN"/>
        </w:rPr>
        <w:t xml:space="preserve">         </w:t>
      </w:r>
      <w:r>
        <w:rPr>
          <w:rFonts w:hint="eastAsia"/>
          <w:color w:val="auto"/>
          <w:sz w:val="24"/>
          <w:szCs w:val="24"/>
          <w:highlight w:val="none"/>
        </w:rPr>
        <w:t>人，营业收 入为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ab/>
      </w:r>
      <w:r>
        <w:rPr>
          <w:rFonts w:hint="eastAsia"/>
          <w:color w:val="auto"/>
          <w:sz w:val="24"/>
          <w:szCs w:val="24"/>
          <w:highlight w:val="none"/>
          <w:u w:val="single"/>
          <w:lang w:val="en-US" w:eastAsia="zh-CN"/>
        </w:rPr>
        <w:t xml:space="preserve">  </w:t>
      </w:r>
      <w:r>
        <w:rPr>
          <w:rFonts w:hint="eastAsia"/>
          <w:color w:val="auto"/>
          <w:sz w:val="24"/>
          <w:szCs w:val="24"/>
          <w:highlight w:val="none"/>
        </w:rPr>
        <w:t>万元</w:t>
      </w:r>
      <w:r>
        <w:rPr>
          <w:rStyle w:val="35"/>
          <w:rFonts w:hint="eastAsia" w:cs="宋体"/>
          <w:color w:val="auto"/>
          <w:sz w:val="24"/>
          <w:szCs w:val="24"/>
          <w:highlight w:val="none"/>
          <w:lang w:val="en-US" w:eastAsia="en-US" w:bidi="en-US"/>
        </w:rPr>
        <w:footnoteReference w:id="0"/>
      </w:r>
      <w:r>
        <w:rPr>
          <w:rFonts w:hint="eastAsia"/>
          <w:color w:val="auto"/>
          <w:sz w:val="24"/>
          <w:szCs w:val="24"/>
          <w:highlight w:val="none"/>
          <w:lang w:val="en-US" w:eastAsia="zh-CN" w:bidi="en-US"/>
        </w:rPr>
        <w:t>，</w:t>
      </w:r>
      <w:r>
        <w:rPr>
          <w:rFonts w:hint="eastAsia"/>
          <w:color w:val="auto"/>
          <w:sz w:val="24"/>
          <w:szCs w:val="24"/>
          <w:highlight w:val="none"/>
        </w:rPr>
        <w:t>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（中型企业、小型企业、微型企业）</w:t>
      </w:r>
      <w:r>
        <w:rPr>
          <w:rFonts w:hint="eastAsia"/>
          <w:color w:val="auto"/>
          <w:sz w:val="24"/>
          <w:szCs w:val="24"/>
          <w:highlight w:val="none"/>
          <w:lang w:eastAsia="zh-CN"/>
        </w:rPr>
        <w:t>；</w:t>
      </w:r>
    </w:p>
    <w:p>
      <w:pPr>
        <w:pStyle w:val="68"/>
        <w:numPr>
          <w:ilvl w:val="0"/>
          <w:numId w:val="5"/>
        </w:numPr>
        <w:tabs>
          <w:tab w:val="left" w:pos="662"/>
          <w:tab w:val="left" w:pos="908"/>
          <w:tab w:val="left" w:pos="2945"/>
        </w:tabs>
        <w:spacing w:line="370" w:lineRule="exact"/>
        <w:ind w:firstLine="460"/>
        <w:rPr>
          <w:color w:val="auto"/>
          <w:sz w:val="24"/>
          <w:szCs w:val="24"/>
          <w:highlight w:val="none"/>
        </w:rPr>
      </w:pPr>
      <w:bookmarkStart w:id="1" w:name="bookmark1"/>
      <w:bookmarkEnd w:id="1"/>
      <w:r>
        <w:rPr>
          <w:rFonts w:hint="eastAsia"/>
          <w:color w:val="auto"/>
          <w:sz w:val="24"/>
          <w:szCs w:val="24"/>
          <w:highlight w:val="none"/>
          <w:u w:val="single"/>
          <w:lang w:val="en-US" w:eastAsia="zh-CN"/>
        </w:rPr>
        <w:t xml:space="preserve">             </w:t>
      </w:r>
      <w:r>
        <w:rPr>
          <w:rFonts w:hint="eastAsia"/>
          <w:color w:val="auto"/>
          <w:sz w:val="24"/>
          <w:szCs w:val="24"/>
          <w:highlight w:val="none"/>
          <w:u w:val="single"/>
        </w:rPr>
        <w:t>（标的名称）</w:t>
      </w:r>
      <w:r>
        <w:rPr>
          <w:rFonts w:hint="eastAsia"/>
          <w:color w:val="auto"/>
          <w:sz w:val="24"/>
          <w:szCs w:val="24"/>
          <w:highlight w:val="none"/>
          <w:lang w:eastAsia="zh-CN"/>
        </w:rPr>
        <w:t>，</w:t>
      </w:r>
      <w:r>
        <w:rPr>
          <w:rFonts w:hint="eastAsia"/>
          <w:color w:val="auto"/>
          <w:sz w:val="24"/>
          <w:szCs w:val="24"/>
          <w:highlight w:val="none"/>
        </w:rPr>
        <w:t>属于</w:t>
      </w:r>
      <w:r>
        <w:rPr>
          <w:rFonts w:hint="eastAsia"/>
          <w:color w:val="auto"/>
          <w:sz w:val="24"/>
          <w:szCs w:val="24"/>
          <w:highlight w:val="none"/>
          <w:u w:val="single"/>
          <w:lang w:val="en-US" w:eastAsia="zh-CN"/>
        </w:rPr>
        <w:t>工业</w:t>
      </w:r>
      <w:r>
        <w:rPr>
          <w:rFonts w:hint="eastAsia"/>
          <w:color w:val="auto"/>
          <w:sz w:val="24"/>
          <w:szCs w:val="24"/>
          <w:highlight w:val="none"/>
          <w:u w:val="single"/>
        </w:rPr>
        <w:t>（采购文件中明确的所属行业）</w:t>
      </w:r>
      <w:r>
        <w:rPr>
          <w:rFonts w:hint="eastAsia"/>
          <w:color w:val="auto"/>
          <w:sz w:val="24"/>
          <w:szCs w:val="24"/>
          <w:highlight w:val="none"/>
          <w:u w:val="single"/>
          <w:lang w:val="zh-CN" w:eastAsia="zh-CN" w:bidi="zh-CN"/>
        </w:rPr>
        <w:t>行业</w:t>
      </w:r>
      <w:r>
        <w:rPr>
          <w:rFonts w:hint="eastAsia"/>
          <w:i/>
          <w:iCs/>
          <w:color w:val="auto"/>
          <w:sz w:val="24"/>
          <w:szCs w:val="24"/>
          <w:highlight w:val="none"/>
          <w:lang w:val="zh-CN" w:eastAsia="zh-CN" w:bidi="zh-CN"/>
        </w:rPr>
        <w:t>、</w:t>
      </w:r>
      <w:r>
        <w:rPr>
          <w:rFonts w:hint="eastAsia"/>
          <w:color w:val="auto"/>
          <w:sz w:val="24"/>
          <w:szCs w:val="24"/>
          <w:highlight w:val="none"/>
        </w:rPr>
        <w:t>制造商为</w:t>
      </w:r>
      <w:r>
        <w:rPr>
          <w:rFonts w:hint="eastAsia"/>
          <w:color w:val="auto"/>
          <w:sz w:val="24"/>
          <w:szCs w:val="24"/>
          <w:highlight w:val="none"/>
          <w:u w:val="single"/>
          <w:lang w:val="en-US" w:eastAsia="zh-CN"/>
        </w:rPr>
        <w:t xml:space="preserve">    </w:t>
      </w:r>
      <w:r>
        <w:rPr>
          <w:rFonts w:hint="eastAsia"/>
          <w:i/>
          <w:iCs/>
          <w:color w:val="auto"/>
          <w:sz w:val="24"/>
          <w:szCs w:val="24"/>
          <w:highlight w:val="none"/>
          <w:u w:val="single"/>
        </w:rPr>
        <w:t>（</w:t>
      </w:r>
      <w:r>
        <w:rPr>
          <w:rFonts w:hint="eastAsia"/>
          <w:color w:val="auto"/>
          <w:sz w:val="24"/>
          <w:szCs w:val="24"/>
          <w:highlight w:val="none"/>
          <w:u w:val="single"/>
        </w:rPr>
        <w:t>企业名称）</w:t>
      </w:r>
      <w:r>
        <w:rPr>
          <w:rFonts w:hint="eastAsia"/>
          <w:i/>
          <w:iCs/>
          <w:color w:val="auto"/>
          <w:sz w:val="24"/>
          <w:szCs w:val="24"/>
          <w:highlight w:val="none"/>
          <w:lang w:eastAsia="zh-CN"/>
        </w:rPr>
        <w:t>，</w:t>
      </w:r>
      <w:r>
        <w:rPr>
          <w:rFonts w:hint="eastAsia"/>
          <w:color w:val="auto"/>
          <w:sz w:val="24"/>
          <w:szCs w:val="24"/>
          <w:highlight w:val="none"/>
        </w:rPr>
        <w:t>从业人员</w:t>
      </w:r>
      <w:r>
        <w:rPr>
          <w:rFonts w:hint="eastAsia"/>
          <w:color w:val="auto"/>
          <w:sz w:val="24"/>
          <w:szCs w:val="24"/>
          <w:highlight w:val="none"/>
          <w:u w:val="single"/>
          <w:lang w:val="en-US" w:eastAsia="zh-CN" w:bidi="zh-CN"/>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u w:val="single"/>
          <w:lang w:val="en-US" w:eastAsia="zh-CN"/>
        </w:rPr>
        <w:t xml:space="preserve">    </w:t>
      </w:r>
      <w:r>
        <w:rPr>
          <w:rFonts w:hint="eastAsia"/>
          <w:color w:val="auto"/>
          <w:sz w:val="24"/>
          <w:szCs w:val="24"/>
          <w:highlight w:val="none"/>
        </w:rPr>
        <w:t>万元，属于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（中型企业、小型 企业、微型</w:t>
      </w:r>
      <w:r>
        <w:rPr>
          <w:rFonts w:hint="eastAsia"/>
          <w:color w:val="auto"/>
          <w:sz w:val="24"/>
          <w:szCs w:val="24"/>
          <w:highlight w:val="none"/>
          <w:u w:val="single"/>
          <w:lang w:val="zh-CN" w:eastAsia="zh-CN" w:bidi="zh-CN"/>
        </w:rPr>
        <w:t>企业）；</w:t>
      </w:r>
    </w:p>
    <w:p>
      <w:pPr>
        <w:pStyle w:val="68"/>
        <w:tabs>
          <w:tab w:val="left" w:pos="662"/>
          <w:tab w:val="left" w:pos="908"/>
          <w:tab w:val="left" w:pos="2945"/>
        </w:tabs>
        <w:spacing w:line="370" w:lineRule="exact"/>
        <w:ind w:left="460" w:firstLine="480" w:firstLineChars="200"/>
        <w:rPr>
          <w:color w:val="auto"/>
          <w:sz w:val="24"/>
          <w:szCs w:val="24"/>
          <w:highlight w:val="none"/>
          <w:lang w:val="en-US" w:eastAsia="zh-CN"/>
        </w:rPr>
      </w:pPr>
      <w:r>
        <w:rPr>
          <w:rFonts w:hint="eastAsia"/>
          <w:color w:val="auto"/>
          <w:sz w:val="24"/>
          <w:szCs w:val="24"/>
          <w:highlight w:val="none"/>
          <w:lang w:val="en-US" w:eastAsia="zh-CN"/>
        </w:rPr>
        <w:t>……</w:t>
      </w:r>
    </w:p>
    <w:p>
      <w:pPr>
        <w:pStyle w:val="68"/>
        <w:tabs>
          <w:tab w:val="left" w:pos="662"/>
          <w:tab w:val="left" w:pos="908"/>
          <w:tab w:val="left" w:pos="2945"/>
        </w:tabs>
        <w:spacing w:line="370" w:lineRule="exact"/>
        <w:ind w:firstLine="480" w:firstLineChars="200"/>
        <w:rPr>
          <w:color w:val="auto"/>
          <w:sz w:val="24"/>
          <w:szCs w:val="24"/>
          <w:highlight w:val="none"/>
          <w:lang w:val="en-US" w:eastAsia="zh-CN"/>
        </w:rPr>
      </w:pPr>
      <w:r>
        <w:rPr>
          <w:rFonts w:hint="eastAsia"/>
          <w:color w:val="auto"/>
          <w:sz w:val="24"/>
          <w:szCs w:val="24"/>
          <w:highlight w:val="none"/>
        </w:rPr>
        <w:t>以上企业，不属于大企业的分支机构，不存在控股股东为大企业的情形，也不存在与大企业的负责人为同一人的情形。</w:t>
      </w:r>
      <w:r>
        <w:rPr>
          <w:rFonts w:hint="eastAsia"/>
          <w:color w:val="auto"/>
          <w:sz w:val="24"/>
          <w:szCs w:val="24"/>
          <w:highlight w:val="none"/>
          <w:lang w:val="en-US" w:eastAsia="zh-CN"/>
        </w:rPr>
        <w:tab/>
      </w:r>
      <w:r>
        <w:rPr>
          <w:rFonts w:hint="eastAsia"/>
          <w:color w:val="auto"/>
          <w:sz w:val="24"/>
          <w:szCs w:val="24"/>
          <w:highlight w:val="none"/>
          <w:lang w:val="en-US" w:eastAsia="zh-CN"/>
        </w:rPr>
        <w:tab/>
      </w:r>
    </w:p>
    <w:p>
      <w:pPr>
        <w:pStyle w:val="68"/>
        <w:tabs>
          <w:tab w:val="left" w:pos="662"/>
          <w:tab w:val="left" w:pos="908"/>
          <w:tab w:val="left" w:pos="2945"/>
        </w:tabs>
        <w:spacing w:line="370" w:lineRule="exact"/>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pPr>
        <w:pStyle w:val="68"/>
        <w:spacing w:line="372" w:lineRule="exact"/>
        <w:jc w:val="left"/>
        <w:rPr>
          <w:color w:val="auto"/>
          <w:sz w:val="24"/>
          <w:szCs w:val="24"/>
          <w:highlight w:val="none"/>
        </w:rPr>
      </w:pPr>
    </w:p>
    <w:p>
      <w:pPr>
        <w:pStyle w:val="68"/>
        <w:spacing w:line="372" w:lineRule="exact"/>
        <w:jc w:val="left"/>
        <w:rPr>
          <w:color w:val="auto"/>
          <w:sz w:val="24"/>
          <w:szCs w:val="24"/>
          <w:highlight w:val="none"/>
        </w:rPr>
      </w:pPr>
    </w:p>
    <w:p>
      <w:pPr>
        <w:pStyle w:val="68"/>
        <w:spacing w:line="372" w:lineRule="exact"/>
        <w:ind w:firstLine="4468" w:firstLineChars="1862"/>
        <w:jc w:val="left"/>
        <w:rPr>
          <w:color w:val="auto"/>
          <w:sz w:val="24"/>
          <w:szCs w:val="24"/>
          <w:highlight w:val="none"/>
        </w:rPr>
      </w:pPr>
      <w:r>
        <w:rPr>
          <w:rFonts w:hint="eastAsia"/>
          <w:color w:val="auto"/>
          <w:sz w:val="24"/>
          <w:szCs w:val="24"/>
          <w:highlight w:val="none"/>
        </w:rPr>
        <w:t>企业名称（盖章）：</w:t>
      </w:r>
    </w:p>
    <w:p>
      <w:pPr>
        <w:pStyle w:val="25"/>
        <w:spacing w:before="0" w:beforeAutospacing="0" w:after="0" w:afterAutospacing="0" w:line="360" w:lineRule="auto"/>
        <w:ind w:firstLine="480" w:firstLineChars="200"/>
        <w:jc w:val="center"/>
        <w:rPr>
          <w:color w:val="auto"/>
          <w:sz w:val="22"/>
          <w:highlight w:val="none"/>
        </w:rPr>
      </w:pPr>
      <w:r>
        <w:rPr>
          <w:rFonts w:hint="eastAsia"/>
          <w:color w:val="auto"/>
          <w:szCs w:val="24"/>
          <w:highlight w:val="none"/>
        </w:rPr>
        <w:t>日期：</w:t>
      </w:r>
      <w:r>
        <w:rPr>
          <w:rFonts w:hint="eastAsia"/>
          <w:color w:val="auto"/>
          <w:sz w:val="22"/>
          <w:highlight w:val="none"/>
        </w:rPr>
        <w:t>　</w:t>
      </w:r>
    </w:p>
    <w:p>
      <w:pPr>
        <w:pStyle w:val="25"/>
        <w:spacing w:before="0" w:beforeAutospacing="0" w:after="0" w:afterAutospacing="0" w:line="360" w:lineRule="auto"/>
        <w:ind w:firstLine="440" w:firstLineChars="200"/>
        <w:jc w:val="center"/>
        <w:rPr>
          <w:color w:val="auto"/>
          <w:sz w:val="22"/>
          <w:highlight w:val="none"/>
        </w:rPr>
      </w:pPr>
    </w:p>
    <w:p>
      <w:pPr>
        <w:pStyle w:val="68"/>
        <w:tabs>
          <w:tab w:val="left" w:pos="662"/>
          <w:tab w:val="left" w:pos="908"/>
          <w:tab w:val="left" w:pos="2945"/>
        </w:tabs>
        <w:spacing w:line="370" w:lineRule="exact"/>
        <w:ind w:firstLine="0"/>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从业人员、营业收入、资产总额填报上一年度数据，无上一年度数据的新成立企业可不填报。（无上一年度数据的新成立企业需提供相关证明材料）</w:t>
      </w:r>
    </w:p>
    <w:p>
      <w:pPr>
        <w:pStyle w:val="68"/>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rPr>
        <w:t>“标的名称”、“采购文件中明确的所属行业”依据招标文件第二部分投标人须知前附表中“</w:t>
      </w:r>
      <w:r>
        <w:rPr>
          <w:rFonts w:hint="eastAsia"/>
          <w:b/>
          <w:bCs/>
          <w:color w:val="auto"/>
          <w:highlight w:val="none"/>
          <w:lang w:eastAsia="zh-CN"/>
        </w:rPr>
        <w:t>所属行业及标的名称</w:t>
      </w:r>
      <w:r>
        <w:rPr>
          <w:rFonts w:hint="eastAsia"/>
          <w:b/>
          <w:bCs/>
          <w:color w:val="auto"/>
          <w:highlight w:val="none"/>
        </w:rPr>
        <w:t>”填写，不得缺漏；中型企业、小型企业、微型企业等3种企业类型，结合以上数据，依据《中小企业划型标准规定》（工信部联企业〔2011〕300号）确定；</w:t>
      </w:r>
    </w:p>
    <w:p>
      <w:pPr>
        <w:pStyle w:val="68"/>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pStyle w:val="68"/>
        <w:tabs>
          <w:tab w:val="left" w:pos="662"/>
          <w:tab w:val="left" w:pos="908"/>
          <w:tab w:val="left" w:pos="2945"/>
        </w:tabs>
        <w:spacing w:line="370" w:lineRule="exact"/>
        <w:ind w:firstLine="442" w:firstLineChars="200"/>
        <w:rPr>
          <w:b/>
          <w:bCs/>
          <w:color w:val="auto"/>
          <w:highlight w:val="none"/>
        </w:rPr>
      </w:pPr>
      <w:r>
        <w:rPr>
          <w:rFonts w:hint="eastAsia"/>
          <w:b/>
          <w:bCs/>
          <w:color w:val="auto"/>
          <w:highlight w:val="none"/>
          <w:lang w:val="en-US" w:eastAsia="zh-CN"/>
        </w:rPr>
        <w:t>4.</w:t>
      </w:r>
      <w:r>
        <w:rPr>
          <w:rFonts w:hint="eastAsia"/>
          <w:b/>
          <w:bCs/>
          <w:color w:val="auto"/>
          <w:highlight w:val="none"/>
        </w:rPr>
        <w:t>中标、成交供应商享受《政府采购促进中小企业发展管理办法》的通知（财库〔2020〕46号）规定的中小企业扶持政策的，采购人、采购代理机构应当随中标、成交结果公开中标、成交供应商的《中小企业声明函》。</w:t>
      </w:r>
    </w:p>
    <w:p>
      <w:pPr>
        <w:jc w:val="center"/>
        <w:rPr>
          <w:rFonts w:ascii="宋体" w:hAnsi="宋体" w:cs="宋体"/>
          <w:b/>
          <w:bCs/>
          <w:color w:val="auto"/>
          <w:sz w:val="24"/>
          <w:highlight w:val="none"/>
        </w:rPr>
      </w:pPr>
    </w:p>
    <w:p>
      <w:pPr>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pPr>
        <w:pStyle w:val="14"/>
        <w:spacing w:after="0" w:line="400" w:lineRule="exact"/>
        <w:ind w:left="0" w:leftChars="0" w:right="0" w:rightChars="0"/>
        <w:jc w:val="center"/>
        <w:rPr>
          <w:rFonts w:ascii="宋体" w:hAnsi="宋体" w:cs="宋体"/>
          <w:b/>
          <w:bCs/>
          <w:color w:val="auto"/>
          <w:sz w:val="24"/>
          <w:highlight w:val="none"/>
        </w:rPr>
      </w:pPr>
    </w:p>
    <w:p>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pPr>
        <w:pStyle w:val="14"/>
        <w:spacing w:after="0" w:line="400" w:lineRule="exact"/>
        <w:ind w:left="0" w:leftChars="0" w:right="0" w:rightChars="0"/>
        <w:rPr>
          <w:rFonts w:ascii="宋体" w:hAnsi="宋体" w:cs="宋体"/>
          <w:color w:val="auto"/>
          <w:sz w:val="22"/>
          <w:highlight w:val="none"/>
        </w:rPr>
      </w:pPr>
    </w:p>
    <w:p>
      <w:pPr>
        <w:pStyle w:val="14"/>
        <w:spacing w:after="0" w:line="400" w:lineRule="exact"/>
        <w:ind w:left="0" w:leftChars="0" w:right="0" w:rightChars="0"/>
        <w:rPr>
          <w:rFonts w:ascii="宋体" w:hAnsi="宋体" w:cs="宋体"/>
          <w:color w:val="auto"/>
          <w:sz w:val="22"/>
          <w:highlight w:val="none"/>
        </w:rPr>
      </w:pPr>
    </w:p>
    <w:p>
      <w:pPr>
        <w:pStyle w:val="14"/>
        <w:spacing w:after="0" w:line="400" w:lineRule="exact"/>
        <w:ind w:left="0" w:leftChars="0" w:right="0" w:rightChars="0"/>
        <w:rPr>
          <w:rFonts w:ascii="宋体" w:hAnsi="宋体" w:cs="宋体"/>
          <w:color w:val="auto"/>
          <w:sz w:val="22"/>
          <w:highlight w:val="none"/>
        </w:rPr>
      </w:pPr>
    </w:p>
    <w:p>
      <w:pPr>
        <w:pStyle w:val="14"/>
        <w:spacing w:after="0" w:line="400" w:lineRule="exact"/>
        <w:ind w:left="0" w:leftChars="0" w:right="0" w:rightChars="0"/>
        <w:rPr>
          <w:rFonts w:ascii="宋体" w:hAnsi="宋体" w:cs="宋体"/>
          <w:color w:val="auto"/>
          <w:sz w:val="22"/>
          <w:highlight w:val="none"/>
        </w:rPr>
      </w:pPr>
    </w:p>
    <w:p>
      <w:pPr>
        <w:pStyle w:val="14"/>
        <w:spacing w:after="0" w:line="400" w:lineRule="exact"/>
        <w:ind w:left="0" w:leftChars="0" w:right="0" w:rightChars="0"/>
        <w:rPr>
          <w:rFonts w:ascii="宋体" w:hAnsi="宋体" w:cs="宋体"/>
          <w:color w:val="auto"/>
          <w:highlight w:val="none"/>
        </w:rPr>
      </w:pPr>
    </w:p>
    <w:p>
      <w:pPr>
        <w:pStyle w:val="14"/>
        <w:spacing w:after="0" w:line="400" w:lineRule="exact"/>
        <w:ind w:left="0" w:leftChars="0" w:right="0" w:rightChars="0"/>
        <w:rPr>
          <w:rFonts w:ascii="宋体" w:hAnsi="宋体" w:cs="宋体"/>
          <w:color w:val="auto"/>
          <w:highlight w:val="none"/>
        </w:rPr>
      </w:pPr>
    </w:p>
    <w:p>
      <w:pPr>
        <w:pStyle w:val="14"/>
        <w:spacing w:after="0" w:line="400" w:lineRule="exact"/>
        <w:ind w:left="0" w:leftChars="0" w:right="0" w:rightChars="0"/>
        <w:rPr>
          <w:rFonts w:ascii="宋体" w:hAnsi="宋体" w:cs="宋体"/>
          <w:color w:val="auto"/>
          <w:highlight w:val="none"/>
        </w:rPr>
      </w:pPr>
    </w:p>
    <w:p>
      <w:pPr>
        <w:pStyle w:val="14"/>
        <w:spacing w:after="0" w:line="400" w:lineRule="exact"/>
        <w:ind w:left="0" w:leftChars="0" w:right="0" w:rightChars="0"/>
        <w:rPr>
          <w:rFonts w:ascii="宋体" w:hAnsi="宋体" w:cs="宋体"/>
          <w:color w:val="auto"/>
          <w:highlight w:val="none"/>
        </w:rPr>
      </w:pPr>
    </w:p>
    <w:p>
      <w:pPr>
        <w:pStyle w:val="14"/>
        <w:spacing w:after="0" w:line="400" w:lineRule="exact"/>
        <w:ind w:left="0" w:leftChars="0" w:right="0" w:rightChars="0"/>
        <w:rPr>
          <w:rFonts w:ascii="宋体" w:hAnsi="宋体" w:cs="宋体"/>
          <w:color w:val="auto"/>
          <w:highlight w:val="none"/>
        </w:rPr>
      </w:pPr>
    </w:p>
    <w:p>
      <w:pPr>
        <w:pStyle w:val="14"/>
        <w:spacing w:after="0" w:line="400" w:lineRule="exact"/>
        <w:ind w:left="0" w:leftChars="0" w:right="0" w:rightChars="0"/>
        <w:rPr>
          <w:rFonts w:ascii="宋体" w:hAnsi="宋体" w:cs="宋体"/>
          <w:color w:val="auto"/>
          <w:highlight w:val="none"/>
        </w:rPr>
      </w:pPr>
    </w:p>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pPr>
        <w:spacing w:line="400" w:lineRule="exact"/>
        <w:rPr>
          <w:rFonts w:ascii="宋体" w:hAnsi="宋体" w:cs="宋体"/>
          <w:b/>
          <w:color w:val="auto"/>
          <w:spacing w:val="6"/>
          <w:sz w:val="30"/>
          <w:szCs w:val="30"/>
          <w:highlight w:val="none"/>
        </w:rPr>
      </w:pPr>
    </w:p>
    <w:p>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400" w:lineRule="exact"/>
        <w:ind w:firstLine="504" w:firstLineChars="200"/>
        <w:rPr>
          <w:rFonts w:ascii="宋体" w:hAnsi="宋体" w:cs="宋体"/>
          <w:color w:val="auto"/>
          <w:spacing w:val="6"/>
          <w:sz w:val="24"/>
          <w:szCs w:val="24"/>
          <w:highlight w:val="none"/>
        </w:rPr>
      </w:pPr>
    </w:p>
    <w:p>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单位名称（电子签章）：</w:t>
      </w:r>
    </w:p>
    <w:p>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pPr>
        <w:spacing w:line="400" w:lineRule="exact"/>
        <w:rPr>
          <w:rFonts w:ascii="宋体" w:hAnsi="宋体" w:cs="宋体"/>
          <w:b/>
          <w:color w:val="auto"/>
          <w:sz w:val="24"/>
          <w:szCs w:val="24"/>
          <w:highlight w:val="none"/>
        </w:rPr>
      </w:pP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pPr>
        <w:spacing w:line="400" w:lineRule="exact"/>
        <w:rPr>
          <w:rFonts w:ascii="宋体" w:hAnsi="宋体" w:cs="宋体"/>
          <w:b/>
          <w:color w:val="auto"/>
          <w:sz w:val="24"/>
          <w:szCs w:val="24"/>
          <w:highlight w:val="none"/>
        </w:rPr>
      </w:pPr>
    </w:p>
    <w:p>
      <w:pPr>
        <w:pStyle w:val="14"/>
        <w:ind w:left="1470" w:right="1470"/>
        <w:rPr>
          <w:rFonts w:ascii="宋体" w:hAnsi="宋体" w:cs="宋体"/>
          <w:color w:val="auto"/>
          <w:highlight w:val="none"/>
        </w:rPr>
      </w:pPr>
    </w:p>
    <w:p>
      <w:pPr>
        <w:pStyle w:val="14"/>
        <w:ind w:left="1470" w:right="1470"/>
        <w:rPr>
          <w:rFonts w:ascii="宋体" w:hAnsi="宋体" w:cs="宋体"/>
          <w:color w:val="auto"/>
          <w:highlight w:val="none"/>
        </w:rPr>
      </w:pPr>
    </w:p>
    <w:p>
      <w:pPr>
        <w:pStyle w:val="14"/>
        <w:ind w:left="1470" w:right="1470"/>
        <w:rPr>
          <w:rFonts w:ascii="宋体" w:hAnsi="宋体" w:cs="宋体"/>
          <w:color w:val="auto"/>
          <w:highlight w:val="none"/>
        </w:rPr>
      </w:pPr>
    </w:p>
    <w:p>
      <w:pPr>
        <w:pStyle w:val="14"/>
        <w:ind w:left="1470" w:right="1470"/>
        <w:rPr>
          <w:rFonts w:ascii="宋体" w:hAnsi="宋体" w:cs="宋体"/>
          <w:color w:val="auto"/>
          <w:highlight w:val="none"/>
        </w:rPr>
      </w:pPr>
    </w:p>
    <w:p>
      <w:pPr>
        <w:snapToGrid w:val="0"/>
        <w:spacing w:before="120" w:beforeLines="50" w:after="50"/>
        <w:jc w:val="center"/>
        <w:outlineLvl w:val="1"/>
        <w:rPr>
          <w:rFonts w:ascii="宋体" w:hAnsi="宋体" w:cs="宋体"/>
          <w:b/>
          <w:color w:val="auto"/>
          <w:sz w:val="24"/>
          <w:highlight w:val="none"/>
        </w:rPr>
      </w:pPr>
      <w:r>
        <w:rPr>
          <w:rFonts w:hint="eastAsia" w:ascii="宋体" w:hAnsi="宋体" w:cs="宋体"/>
          <w:b/>
          <w:bCs/>
          <w:color w:val="auto"/>
          <w:sz w:val="24"/>
          <w:highlight w:val="none"/>
        </w:rPr>
        <w:t>二、资格文件部分封面格式</w:t>
      </w:r>
    </w:p>
    <w:p>
      <w:pPr>
        <w:snapToGrid w:val="0"/>
        <w:spacing w:before="120" w:beforeLines="50" w:after="50"/>
        <w:jc w:val="center"/>
        <w:outlineLvl w:val="1"/>
        <w:rPr>
          <w:rFonts w:ascii="宋体" w:hAnsi="宋体" w:cs="宋体"/>
          <w:b/>
          <w:bCs/>
          <w:color w:val="auto"/>
          <w:sz w:val="24"/>
          <w:highlight w:val="none"/>
        </w:rPr>
      </w:pPr>
    </w:p>
    <w:p>
      <w:pPr>
        <w:snapToGrid w:val="0"/>
        <w:spacing w:line="400" w:lineRule="exact"/>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0" t="0" r="9525" b="8255"/>
                <wp:wrapTopAndBottom/>
                <wp:docPr id="2" name="1028"/>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1028"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ixDfZAAAACQEAAA8AAAAAAAAAAQAg&#10;AAAAIgAAAGRycy9kb3ducmV2LnhtbFBLAQIUABQAAAAIAIdO4kBrmfRFDQIAAGEEAAAOAAAAAAAA&#10;AAEAIAAAACgBAABkcnMvZTJvRG9jLnhtbFBLBQYAAAAABgAGAFkBAACnBQ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附件4  </w:t>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b/>
          <w:color w:val="auto"/>
          <w:sz w:val="28"/>
          <w:szCs w:val="28"/>
          <w:highlight w:val="none"/>
        </w:rPr>
        <w:t xml:space="preserve"> 资格文件</w:t>
      </w:r>
    </w:p>
    <w:p>
      <w:pPr>
        <w:pStyle w:val="14"/>
        <w:spacing w:after="0" w:line="400" w:lineRule="exact"/>
        <w:ind w:left="0" w:leftChars="0" w:right="0" w:rightChars="0"/>
        <w:rPr>
          <w:rFonts w:ascii="宋体" w:hAnsi="宋体" w:cs="宋体"/>
          <w:color w:val="auto"/>
          <w:highlight w:val="none"/>
        </w:rPr>
      </w:pPr>
    </w:p>
    <w:p>
      <w:pPr>
        <w:snapToGrid w:val="0"/>
        <w:spacing w:line="400" w:lineRule="exact"/>
        <w:jc w:val="center"/>
        <w:rPr>
          <w:rFonts w:ascii="宋体" w:hAnsi="宋体" w:cs="宋体"/>
          <w:b/>
          <w:color w:val="auto"/>
          <w:spacing w:val="-6"/>
          <w:sz w:val="24"/>
          <w:szCs w:val="24"/>
          <w:highlight w:val="none"/>
        </w:rPr>
      </w:pPr>
    </w:p>
    <w:p>
      <w:pPr>
        <w:spacing w:line="400" w:lineRule="exact"/>
        <w:rPr>
          <w:rFonts w:ascii="宋体" w:hAnsi="宋体" w:cs="宋体"/>
          <w:b/>
          <w:color w:val="auto"/>
          <w:sz w:val="22"/>
          <w:highlight w:val="none"/>
        </w:rPr>
      </w:pPr>
      <w:r>
        <w:rPr>
          <w:rFonts w:hint="eastAsia" w:ascii="宋体" w:hAnsi="宋体" w:cs="宋体"/>
          <w:b/>
          <w:color w:val="auto"/>
          <w:sz w:val="22"/>
          <w:highlight w:val="none"/>
        </w:rPr>
        <w:t>附件4-1</w:t>
      </w:r>
    </w:p>
    <w:p>
      <w:pPr>
        <w:spacing w:line="360" w:lineRule="auto"/>
        <w:jc w:val="center"/>
        <w:rPr>
          <w:rFonts w:ascii="宋体" w:hAnsi="宋体" w:cs="宋体"/>
          <w:b/>
          <w:color w:val="auto"/>
          <w:sz w:val="22"/>
          <w:highlight w:val="none"/>
        </w:rPr>
      </w:pPr>
    </w:p>
    <w:p>
      <w:pPr>
        <w:spacing w:line="360" w:lineRule="auto"/>
        <w:jc w:val="center"/>
        <w:rPr>
          <w:rFonts w:ascii="宋体" w:hAnsi="宋体" w:cs="宋体"/>
          <w:b/>
          <w:color w:val="auto"/>
          <w:sz w:val="22"/>
          <w:highlight w:val="none"/>
        </w:rPr>
      </w:pPr>
      <w:r>
        <w:rPr>
          <w:rFonts w:hint="eastAsia" w:ascii="宋体" w:hAnsi="宋体" w:cs="宋体"/>
          <w:b/>
          <w:color w:val="auto"/>
          <w:sz w:val="22"/>
          <w:highlight w:val="none"/>
        </w:rPr>
        <w:t>有效的法人或者其他组织的营业执照等证明文件，自然人的身份证明（五选一）</w:t>
      </w:r>
    </w:p>
    <w:p>
      <w:pPr>
        <w:spacing w:line="360" w:lineRule="auto"/>
        <w:rPr>
          <w:rFonts w:ascii="宋体" w:hAnsi="宋体" w:cs="宋体"/>
          <w:b/>
          <w:color w:val="auto"/>
          <w:sz w:val="22"/>
          <w:highlight w:val="none"/>
        </w:rPr>
      </w:pPr>
    </w:p>
    <w:p>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pPr>
        <w:pStyle w:val="22"/>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pPr>
        <w:pStyle w:val="22"/>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pPr>
        <w:pStyle w:val="22"/>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pPr>
        <w:pStyle w:val="22"/>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pPr>
        <w:pStyle w:val="22"/>
        <w:spacing w:line="360" w:lineRule="auto"/>
        <w:ind w:left="418" w:hanging="418"/>
        <w:rPr>
          <w:rFonts w:ascii="宋体" w:hAnsi="宋体" w:cs="宋体"/>
          <w:color w:val="auto"/>
          <w:sz w:val="22"/>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pPr>
        <w:snapToGrid w:val="0"/>
        <w:spacing w:line="400" w:lineRule="exact"/>
        <w:jc w:val="center"/>
        <w:rPr>
          <w:rFonts w:ascii="宋体" w:hAnsi="宋体" w:cs="宋体"/>
          <w:b/>
          <w:color w:val="auto"/>
          <w:spacing w:val="-6"/>
          <w:sz w:val="24"/>
          <w:szCs w:val="24"/>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附件4-2</w:t>
      </w:r>
    </w:p>
    <w:p>
      <w:pPr>
        <w:spacing w:before="240" w:beforeLines="100" w:after="240" w:afterLines="10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关于符合《中华人民共和国政府采购法》第二十二条规定的承诺函</w:t>
      </w:r>
    </w:p>
    <w:p>
      <w:pPr>
        <w:spacing w:before="240" w:beforeLines="100" w:after="240" w:afterLines="100"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温州理工学院、浙江乐诚工程咨询有限公司</w:t>
      </w:r>
      <w:r>
        <w:rPr>
          <w:rFonts w:hint="eastAsia" w:ascii="宋体" w:hAnsi="宋体" w:cs="宋体"/>
          <w:color w:val="auto"/>
          <w:spacing w:val="-6"/>
          <w:sz w:val="22"/>
          <w:highlight w:val="none"/>
        </w:rPr>
        <w:t>：</w:t>
      </w:r>
    </w:p>
    <w:p>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pPr>
        <w:pStyle w:val="2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（一）具有独立承担民事责任的能力；</w:t>
      </w:r>
    </w:p>
    <w:p>
      <w:pPr>
        <w:pStyle w:val="2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pPr>
        <w:pStyle w:val="2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pPr>
        <w:pStyle w:val="2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pPr>
        <w:pStyle w:val="2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pPr>
        <w:pStyle w:val="25"/>
        <w:spacing w:before="0" w:beforeAutospacing="0" w:after="0" w:afterAutospacing="0" w:line="360" w:lineRule="auto"/>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pPr>
        <w:spacing w:line="360" w:lineRule="auto"/>
        <w:ind w:firstLine="442" w:firstLineChars="200"/>
        <w:rPr>
          <w:rStyle w:val="75"/>
          <w:rFonts w:ascii="宋体" w:hAnsi="宋体" w:cs="宋体"/>
          <w:color w:val="auto"/>
          <w:sz w:val="22"/>
          <w:highlight w:val="none"/>
        </w:rPr>
      </w:pPr>
      <w:r>
        <w:rPr>
          <w:rStyle w:val="75"/>
          <w:rFonts w:hint="eastAsia" w:ascii="宋体" w:hAnsi="宋体" w:cs="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75"/>
          <w:rFonts w:hint="eastAsia" w:ascii="宋体" w:hAnsi="宋体" w:cs="宋体"/>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spacing w:line="360" w:lineRule="auto"/>
        <w:ind w:firstLine="440" w:firstLineChars="200"/>
        <w:rPr>
          <w:rStyle w:val="75"/>
          <w:rFonts w:ascii="宋体" w:hAnsi="宋体" w:cs="宋体"/>
          <w:color w:val="auto"/>
          <w:sz w:val="22"/>
          <w:highlight w:val="none"/>
        </w:rPr>
      </w:pPr>
      <w:r>
        <w:rPr>
          <w:rStyle w:val="75"/>
          <w:rFonts w:hint="eastAsia" w:ascii="宋体" w:hAnsi="宋体" w:cs="宋体"/>
          <w:color w:val="auto"/>
          <w:sz w:val="22"/>
          <w:highlight w:val="none"/>
        </w:rPr>
        <w:t>《中华人民共和国政府采购法实施条例》第十九条第一款规定的“</w:t>
      </w:r>
      <w:r>
        <w:rPr>
          <w:rFonts w:hint="eastAsia" w:ascii="宋体" w:hAnsi="宋体" w:cs="宋体"/>
          <w:color w:val="auto"/>
          <w:sz w:val="22"/>
          <w:highlight w:val="none"/>
        </w:rPr>
        <w:t>较大数额罚款</w:t>
      </w:r>
      <w:r>
        <w:rPr>
          <w:rStyle w:val="75"/>
          <w:rFonts w:hint="eastAsia" w:ascii="宋体" w:hAnsi="宋体" w:cs="宋体"/>
          <w:color w:val="auto"/>
          <w:sz w:val="22"/>
          <w:highlight w:val="none"/>
        </w:rPr>
        <w:t>”认定为200万元以上的罚款，法律、行政法规以及国务院有关部门明确规定相关领域“</w:t>
      </w:r>
      <w:r>
        <w:rPr>
          <w:rFonts w:hint="eastAsia" w:ascii="宋体" w:hAnsi="宋体" w:cs="宋体"/>
          <w:color w:val="auto"/>
          <w:sz w:val="22"/>
          <w:highlight w:val="none"/>
        </w:rPr>
        <w:t>较大数额罚款</w:t>
      </w:r>
      <w:r>
        <w:rPr>
          <w:rStyle w:val="75"/>
          <w:rFonts w:hint="eastAsia" w:ascii="宋体" w:hAnsi="宋体" w:cs="宋体"/>
          <w:color w:val="auto"/>
          <w:sz w:val="22"/>
          <w:highlight w:val="none"/>
        </w:rPr>
        <w:t>”标准高于200万元的，从其规定。</w:t>
      </w:r>
    </w:p>
    <w:p>
      <w:pPr>
        <w:spacing w:line="360" w:lineRule="auto"/>
        <w:ind w:firstLine="440" w:firstLineChars="200"/>
        <w:rPr>
          <w:rStyle w:val="75"/>
          <w:rFonts w:ascii="宋体" w:hAnsi="宋体" w:cs="宋体"/>
          <w:color w:val="auto"/>
          <w:sz w:val="22"/>
          <w:highlight w:val="none"/>
        </w:rPr>
      </w:pPr>
      <w:r>
        <w:rPr>
          <w:rStyle w:val="75"/>
          <w:rFonts w:hint="eastAsia" w:ascii="宋体" w:hAnsi="宋体" w:cs="宋体"/>
          <w:color w:val="auto"/>
          <w:sz w:val="22"/>
          <w:highlight w:val="none"/>
        </w:rPr>
        <w:t>我单位已知晓前述法律规定，对此无任何异议。</w:t>
      </w:r>
    </w:p>
    <w:p>
      <w:pPr>
        <w:tabs>
          <w:tab w:val="left" w:pos="9180"/>
        </w:tabs>
        <w:spacing w:line="360" w:lineRule="auto"/>
        <w:ind w:firstLine="883" w:firstLineChars="400"/>
        <w:rPr>
          <w:rFonts w:ascii="宋体" w:hAnsi="宋体" w:cs="宋体"/>
          <w:snapToGrid w:val="0"/>
          <w:color w:val="auto"/>
          <w:sz w:val="22"/>
          <w:highlight w:val="none"/>
        </w:rPr>
      </w:pPr>
      <w:r>
        <w:rPr>
          <w:rStyle w:val="75"/>
          <w:rFonts w:hint="eastAsia" w:ascii="宋体" w:hAnsi="宋体" w:cs="宋体"/>
          <w:b/>
          <w:bCs/>
          <w:color w:val="auto"/>
          <w:sz w:val="22"/>
          <w:highlight w:val="none"/>
        </w:rPr>
        <w:t>注：</w:t>
      </w:r>
      <w:r>
        <w:rPr>
          <w:rStyle w:val="75"/>
          <w:rFonts w:hint="eastAsia" w:ascii="宋体" w:hAnsi="宋体" w:cs="宋体"/>
          <w:color w:val="auto"/>
          <w:sz w:val="22"/>
          <w:highlight w:val="none"/>
          <w:u w:val="single"/>
        </w:rPr>
        <w:t>▲</w:t>
      </w:r>
      <w:r>
        <w:rPr>
          <w:rStyle w:val="75"/>
          <w:rFonts w:hint="eastAsia" w:ascii="宋体" w:hAnsi="宋体" w:cs="宋体"/>
          <w:b/>
          <w:bCs/>
          <w:color w:val="auto"/>
          <w:sz w:val="22"/>
          <w:highlight w:val="none"/>
          <w:u w:val="single"/>
        </w:rPr>
        <w:t>本承诺函必须提供。</w:t>
      </w:r>
    </w:p>
    <w:p>
      <w:pPr>
        <w:spacing w:line="360" w:lineRule="auto"/>
        <w:ind w:left="4620" w:leftChars="2200"/>
        <w:rPr>
          <w:rFonts w:ascii="宋体" w:hAnsi="宋体" w:cs="宋体"/>
          <w:color w:val="auto"/>
          <w:szCs w:val="21"/>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pStyle w:val="14"/>
        <w:spacing w:after="0" w:line="400" w:lineRule="exact"/>
        <w:ind w:left="0" w:leftChars="0" w:right="0" w:rightChars="0"/>
        <w:rPr>
          <w:rFonts w:ascii="宋体" w:hAnsi="宋体" w:cs="宋体"/>
          <w:color w:val="auto"/>
          <w:highlight w:val="none"/>
        </w:rPr>
      </w:pPr>
    </w:p>
    <w:p>
      <w:pPr>
        <w:pStyle w:val="14"/>
        <w:spacing w:after="0" w:line="400" w:lineRule="exact"/>
        <w:ind w:left="0" w:leftChars="0" w:right="0" w:rightChars="0"/>
        <w:rPr>
          <w:rFonts w:ascii="宋体" w:hAnsi="宋体" w:cs="宋体"/>
          <w:color w:val="auto"/>
          <w:highlight w:val="none"/>
        </w:rPr>
      </w:pPr>
    </w:p>
    <w:p>
      <w:pPr>
        <w:pStyle w:val="14"/>
        <w:spacing w:after="0" w:line="400" w:lineRule="exact"/>
        <w:ind w:left="0" w:leftChars="0" w:right="0" w:rightChars="0"/>
        <w:rPr>
          <w:rFonts w:ascii="宋体" w:hAnsi="宋体" w:cs="宋体"/>
          <w:color w:val="auto"/>
          <w:highlight w:val="none"/>
        </w:rPr>
      </w:pPr>
    </w:p>
    <w:p>
      <w:pPr>
        <w:snapToGrid w:val="0"/>
        <w:spacing w:before="120" w:beforeLines="50" w:after="50"/>
        <w:jc w:val="center"/>
        <w:outlineLvl w:val="1"/>
        <w:rPr>
          <w:rFonts w:ascii="宋体" w:hAnsi="宋体" w:cs="宋体"/>
          <w:b/>
          <w:color w:val="auto"/>
          <w:sz w:val="28"/>
          <w:szCs w:val="28"/>
          <w:highlight w:val="none"/>
        </w:rPr>
      </w:pPr>
      <w:r>
        <w:rPr>
          <w:rFonts w:hint="eastAsia" w:ascii="宋体" w:hAnsi="宋体" w:cs="宋体"/>
          <w:b/>
          <w:bCs/>
          <w:color w:val="auto"/>
          <w:sz w:val="28"/>
          <w:szCs w:val="28"/>
          <w:highlight w:val="none"/>
        </w:rPr>
        <w:t>三、商务和技术文件部分封面格式</w:t>
      </w:r>
    </w:p>
    <w:p>
      <w:pPr>
        <w:snapToGrid w:val="0"/>
        <w:spacing w:before="120" w:beforeLines="50" w:after="50"/>
        <w:outlineLvl w:val="1"/>
        <w:rPr>
          <w:rFonts w:ascii="宋体" w:hAnsi="宋体" w:cs="宋体"/>
          <w:b/>
          <w:bCs/>
          <w:color w:val="auto"/>
          <w:sz w:val="24"/>
          <w:highlight w:val="none"/>
        </w:rPr>
      </w:pPr>
    </w:p>
    <w:p>
      <w:pPr>
        <w:pStyle w:val="14"/>
        <w:ind w:left="0" w:leftChars="0" w:right="1470"/>
        <w:rPr>
          <w:rFonts w:ascii="宋体" w:hAnsi="宋体" w:cs="宋体"/>
          <w:b/>
          <w:color w:val="auto"/>
          <w:sz w:val="24"/>
          <w:szCs w:val="24"/>
          <w:highlight w:val="none"/>
        </w:rPr>
      </w:pPr>
    </w:p>
    <w:p>
      <w:pPr>
        <w:snapToGrid w:val="0"/>
        <w:spacing w:line="400" w:lineRule="exact"/>
        <w:jc w:val="center"/>
        <w:outlineLvl w:val="1"/>
        <w:rPr>
          <w:rFonts w:ascii="宋体" w:hAnsi="宋体" w:cs="宋体"/>
          <w:b/>
          <w:bCs/>
          <w:color w:val="auto"/>
          <w:sz w:val="24"/>
          <w:szCs w:val="20"/>
          <w:highlight w:val="none"/>
        </w:rPr>
      </w:pPr>
    </w:p>
    <w:p>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0" t="0" r="9525" b="8255"/>
                <wp:wrapTopAndBottom/>
                <wp:docPr id="3" name="1029"/>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wps:txbx>
                      <wps:bodyPr upright="1"/>
                    </wps:wsp>
                  </a:graphicData>
                </a:graphic>
              </wp:anchor>
            </w:drawing>
          </mc:Choice>
          <mc:Fallback>
            <w:pict>
              <v:shape id="1029"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osQ32QAAAAkBAAAPAAAAAAAAAAEA&#10;IAAAACIAAABkcnMvZG93bnJldi54bWxQSwECFAAUAAAACACHTuJAndFjDA4CAABhBAAADgAAAAAA&#10;AAABACAAAAAoAQAAZHJzL2Uyb0RvYy54bWxQSwUGAAAAAAYABgBZAQAAqAU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pPr>
                        <w:jc w:val="center"/>
                      </w:pPr>
                      <w:r>
                        <w:rPr>
                          <w:rFonts w:hint="eastAsia"/>
                          <w:sz w:val="24"/>
                        </w:rPr>
                        <w:t>年  月  日</w:t>
                      </w:r>
                    </w:p>
                  </w:txbxContent>
                </v:textbox>
                <w10:wrap type="topAndBottom"/>
              </v:shape>
            </w:pict>
          </mc:Fallback>
        </mc:AlternateContent>
      </w:r>
    </w:p>
    <w:p>
      <w:pPr>
        <w:snapToGrid w:val="0"/>
        <w:spacing w:before="120" w:beforeLines="50" w:after="50"/>
        <w:jc w:val="center"/>
        <w:outlineLvl w:val="1"/>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1470" w:right="1470"/>
        <w:rPr>
          <w:rFonts w:ascii="宋体" w:hAnsi="宋体" w:cs="宋体"/>
          <w:b/>
          <w:bCs/>
          <w:color w:val="auto"/>
          <w:sz w:val="24"/>
          <w:highlight w:val="none"/>
        </w:rPr>
      </w:pPr>
    </w:p>
    <w:p>
      <w:pPr>
        <w:pStyle w:val="14"/>
        <w:ind w:left="0" w:leftChars="0" w:right="1470"/>
        <w:rPr>
          <w:rFonts w:ascii="宋体" w:hAnsi="宋体" w:cs="宋体"/>
          <w:b/>
          <w:bCs/>
          <w:color w:val="auto"/>
          <w:sz w:val="24"/>
          <w:highlight w:val="none"/>
        </w:rPr>
      </w:pPr>
    </w:p>
    <w:p>
      <w:pPr>
        <w:pStyle w:val="14"/>
        <w:ind w:left="0" w:leftChars="0" w:right="1470"/>
        <w:rPr>
          <w:rFonts w:ascii="宋体" w:hAnsi="宋体" w:cs="宋体"/>
          <w:b/>
          <w:bCs/>
          <w:color w:val="auto"/>
          <w:sz w:val="24"/>
          <w:highlight w:val="none"/>
        </w:rPr>
      </w:pPr>
    </w:p>
    <w:p>
      <w:pPr>
        <w:pStyle w:val="14"/>
        <w:ind w:left="0" w:leftChars="0" w:right="1470"/>
        <w:rPr>
          <w:rFonts w:ascii="宋体" w:hAnsi="宋体" w:cs="宋体"/>
          <w:b/>
          <w:bCs/>
          <w:color w:val="auto"/>
          <w:sz w:val="24"/>
          <w:highlight w:val="none"/>
        </w:rPr>
      </w:pPr>
    </w:p>
    <w:p>
      <w:pPr>
        <w:pStyle w:val="14"/>
        <w:ind w:left="0" w:leftChars="0" w:right="1470"/>
        <w:rPr>
          <w:rFonts w:ascii="宋体" w:hAnsi="宋体" w:cs="宋体"/>
          <w:b/>
          <w:bCs/>
          <w:color w:val="auto"/>
          <w:sz w:val="24"/>
          <w:highlight w:val="none"/>
        </w:rPr>
      </w:pPr>
    </w:p>
    <w:p>
      <w:pPr>
        <w:pStyle w:val="14"/>
        <w:ind w:left="0" w:leftChars="0" w:right="1470"/>
        <w:rPr>
          <w:rFonts w:ascii="宋体" w:hAnsi="宋体" w:cs="宋体"/>
          <w:b/>
          <w:bCs/>
          <w:color w:val="auto"/>
          <w:sz w:val="24"/>
          <w:highlight w:val="none"/>
        </w:rPr>
      </w:pPr>
    </w:p>
    <w:p>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商务和技术文件投标文件</w:t>
      </w:r>
    </w:p>
    <w:p>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pPr>
              <w:pStyle w:val="54"/>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pPr>
              <w:spacing w:line="400" w:lineRule="exact"/>
              <w:jc w:val="left"/>
              <w:rPr>
                <w:rFonts w:ascii="宋体" w:hAnsi="宋体" w:cs="宋体"/>
                <w:color w:val="auto"/>
                <w:kern w:val="0"/>
                <w:sz w:val="24"/>
                <w:szCs w:val="24"/>
                <w:highlight w:val="none"/>
              </w:rPr>
            </w:pPr>
          </w:p>
          <w:p>
            <w:pPr>
              <w:spacing w:line="400" w:lineRule="exact"/>
              <w:jc w:val="left"/>
              <w:rPr>
                <w:rFonts w:ascii="宋体" w:hAnsi="宋体" w:cs="宋体"/>
                <w:color w:val="auto"/>
                <w:kern w:val="0"/>
                <w:sz w:val="24"/>
                <w:szCs w:val="24"/>
                <w:highlight w:val="none"/>
              </w:rPr>
            </w:pPr>
          </w:p>
        </w:tc>
        <w:tc>
          <w:tcPr>
            <w:tcW w:w="1313" w:type="dxa"/>
            <w:vAlign w:val="center"/>
          </w:tcPr>
          <w:p>
            <w:pPr>
              <w:pStyle w:val="12"/>
              <w:spacing w:line="400" w:lineRule="exact"/>
              <w:ind w:left="456" w:hanging="456"/>
              <w:rPr>
                <w:rFonts w:ascii="宋体" w:hAnsi="宋体" w:cs="宋体"/>
                <w:color w:val="auto"/>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pPr>
              <w:spacing w:line="400" w:lineRule="exact"/>
              <w:jc w:val="left"/>
              <w:rPr>
                <w:rFonts w:ascii="宋体" w:hAnsi="宋体" w:cs="宋体"/>
                <w:color w:val="auto"/>
                <w:kern w:val="0"/>
                <w:sz w:val="24"/>
                <w:szCs w:val="24"/>
                <w:highlight w:val="none"/>
              </w:rPr>
            </w:pPr>
          </w:p>
        </w:tc>
        <w:tc>
          <w:tcPr>
            <w:tcW w:w="1313" w:type="dxa"/>
            <w:vAlign w:val="center"/>
          </w:tcPr>
          <w:p>
            <w:pPr>
              <w:pStyle w:val="12"/>
              <w:spacing w:line="400" w:lineRule="exact"/>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pPr>
              <w:spacing w:line="400" w:lineRule="exac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9</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pPr>
              <w:spacing w:line="400" w:lineRule="exact"/>
              <w:jc w:val="left"/>
              <w:rPr>
                <w:rFonts w:ascii="宋体" w:hAnsi="宋体" w:cs="宋体"/>
                <w:color w:val="auto"/>
                <w:sz w:val="24"/>
                <w:szCs w:val="24"/>
                <w:highlight w:val="none"/>
              </w:rPr>
            </w:pPr>
          </w:p>
        </w:tc>
        <w:tc>
          <w:tcPr>
            <w:tcW w:w="1313" w:type="dxa"/>
          </w:tcPr>
          <w:p>
            <w:pPr>
              <w:spacing w:line="400" w:lineRule="exact"/>
              <w:rPr>
                <w:rFonts w:ascii="宋体" w:hAnsi="宋体" w:cs="宋体"/>
                <w:bCs/>
                <w:color w:val="auto"/>
                <w:sz w:val="24"/>
                <w:szCs w:val="24"/>
                <w:highlight w:val="none"/>
              </w:rPr>
            </w:pPr>
          </w:p>
        </w:tc>
      </w:tr>
    </w:tbl>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pPr>
        <w:spacing w:line="400" w:lineRule="exact"/>
        <w:ind w:hanging="1"/>
        <w:rPr>
          <w:rFonts w:ascii="宋体" w:hAnsi="宋体" w:cs="宋体"/>
          <w:b/>
          <w:color w:val="auto"/>
          <w:sz w:val="22"/>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附件6</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函</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温州理工学院、浙江乐诚工程咨询有限公司</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根据贵方为温州理工学院</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pPr>
        <w:spacing w:line="400" w:lineRule="exact"/>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napToGrid w:val="0"/>
        <w:spacing w:line="400" w:lineRule="exact"/>
        <w:jc w:val="center"/>
        <w:rPr>
          <w:rFonts w:ascii="宋体" w:hAnsi="宋体" w:cs="宋体"/>
          <w:b/>
          <w:bCs/>
          <w:color w:val="auto"/>
          <w:sz w:val="28"/>
          <w:szCs w:val="28"/>
          <w:highlight w:val="none"/>
        </w:rPr>
      </w:pPr>
    </w:p>
    <w:p>
      <w:pPr>
        <w:snapToGrid w:val="0"/>
        <w:spacing w:line="400" w:lineRule="exact"/>
        <w:jc w:val="center"/>
        <w:rPr>
          <w:rFonts w:ascii="宋体" w:hAnsi="宋体" w:cs="宋体"/>
          <w:b/>
          <w:bCs/>
          <w:color w:val="auto"/>
          <w:sz w:val="28"/>
          <w:szCs w:val="28"/>
          <w:highlight w:val="none"/>
        </w:rPr>
      </w:pPr>
    </w:p>
    <w:p>
      <w:pPr>
        <w:pStyle w:val="12"/>
        <w:ind w:left="562" w:hanging="562"/>
        <w:rPr>
          <w:rFonts w:ascii="宋体" w:hAnsi="宋体" w:cs="宋体"/>
          <w:b/>
          <w:bCs/>
          <w:color w:val="auto"/>
          <w:sz w:val="28"/>
          <w:szCs w:val="28"/>
          <w:highlight w:val="none"/>
        </w:rPr>
      </w:pPr>
    </w:p>
    <w:p>
      <w:pPr>
        <w:rPr>
          <w:rFonts w:ascii="宋体" w:hAnsi="宋体" w:cs="宋体"/>
          <w:color w:val="auto"/>
          <w:highlight w:val="none"/>
        </w:rPr>
      </w:pPr>
    </w:p>
    <w:p>
      <w:pPr>
        <w:snapToGrid w:val="0"/>
        <w:spacing w:line="400" w:lineRule="exact"/>
        <w:jc w:val="center"/>
        <w:rPr>
          <w:rFonts w:ascii="宋体" w:hAnsi="宋体" w:cs="宋体"/>
          <w:b/>
          <w:bCs/>
          <w:color w:val="auto"/>
          <w:sz w:val="28"/>
          <w:szCs w:val="28"/>
          <w:highlight w:val="none"/>
        </w:rPr>
      </w:pPr>
    </w:p>
    <w:p>
      <w:pPr>
        <w:snapToGrid w:val="0"/>
        <w:spacing w:line="400" w:lineRule="exact"/>
        <w:jc w:val="center"/>
        <w:rPr>
          <w:rFonts w:ascii="宋体" w:hAnsi="宋体" w:cs="宋体"/>
          <w:b/>
          <w:bCs/>
          <w:color w:val="auto"/>
          <w:sz w:val="28"/>
          <w:szCs w:val="28"/>
          <w:highlight w:val="none"/>
        </w:rPr>
      </w:pPr>
    </w:p>
    <w:p>
      <w:pPr>
        <w:pStyle w:val="14"/>
        <w:ind w:left="1470" w:right="1470"/>
        <w:rPr>
          <w:rFonts w:ascii="宋体" w:hAnsi="宋体" w:cs="宋体"/>
          <w:color w:val="auto"/>
          <w:highlight w:val="none"/>
        </w:rPr>
      </w:pPr>
    </w:p>
    <w:p>
      <w:pPr>
        <w:pStyle w:val="11"/>
        <w:ind w:firstLine="0" w:firstLineChars="0"/>
        <w:rPr>
          <w:rFonts w:ascii="宋体" w:hAnsi="宋体" w:cs="宋体"/>
          <w:color w:val="auto"/>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附件7</w:t>
      </w:r>
    </w:p>
    <w:p>
      <w:pPr>
        <w:pStyle w:val="12"/>
        <w:ind w:left="0" w:firstLine="0" w:firstLineChars="0"/>
        <w:rPr>
          <w:rFonts w:ascii="宋体" w:hAnsi="宋体" w:cs="宋体"/>
          <w:color w:val="auto"/>
          <w:highlight w:val="none"/>
        </w:rPr>
      </w:pPr>
    </w:p>
    <w:p>
      <w:pPr>
        <w:ind w:right="-1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法定代表人资格证明书</w:t>
      </w:r>
    </w:p>
    <w:p>
      <w:pPr>
        <w:spacing w:line="480" w:lineRule="auto"/>
        <w:jc w:val="left"/>
        <w:rPr>
          <w:rFonts w:ascii="宋体" w:hAnsi="宋体" w:cs="宋体"/>
          <w:color w:val="auto"/>
          <w:sz w:val="24"/>
          <w:szCs w:val="24"/>
          <w:highlight w:val="none"/>
        </w:rPr>
      </w:pPr>
    </w:p>
    <w:p>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致：温州理工学院、浙江乐诚工程咨询有限公司：</w:t>
      </w:r>
    </w:p>
    <w:p>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（职务名称）职务，是我单位的法定代表人。</w:t>
      </w:r>
    </w:p>
    <w:p>
      <w:pPr>
        <w:spacing w:line="480" w:lineRule="auto"/>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00" w:lineRule="exact"/>
        <w:jc w:val="left"/>
        <w:rPr>
          <w:rFonts w:ascii="宋体" w:hAnsi="宋体" w:cs="宋体"/>
          <w:b/>
          <w:bCs/>
          <w:color w:val="auto"/>
          <w:sz w:val="24"/>
          <w:szCs w:val="24"/>
          <w:highlight w:val="none"/>
        </w:rPr>
      </w:pP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w:t>
      </w:r>
    </w:p>
    <w:p>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598170</wp:posOffset>
                </wp:positionH>
                <wp:positionV relativeFrom="paragraph">
                  <wp:posOffset>158115</wp:posOffset>
                </wp:positionV>
                <wp:extent cx="3400425" cy="2377440"/>
                <wp:effectExtent l="0" t="0" r="9525" b="3810"/>
                <wp:wrapNone/>
                <wp:docPr id="4" name="1030"/>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1030" o:spid="_x0000_s1026" o:spt="202" type="#_x0000_t202" style="position:absolute;left:0pt;margin-left:47.1pt;margin-top:12.45pt;height:187.2pt;width:267.75pt;z-index:251662336;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ZfJg7YAAAACQEAAA8AAAAAAAAAAQAgAAAAIgAAAGRycy9kb3du&#10;cmV2LnhtbFBLAQIUABQAAAAIAIdO4kCX5sHE/wEAAD4EAAAOAAAAAAAAAAEAIAAAACcBAABkcnMv&#10;ZTJvRG9jLnhtbFBLBQYAAAAABgAGAFkBAACYBQAAAAA=&#10;">
                <v:fill on="t" focussize="0,0"/>
                <v:stroke color="#000000" joinstyle="miter"/>
                <v:imagedata o:title=""/>
                <o:lock v:ext="edit" aspectratio="f"/>
                <v:textbox>
                  <w:txbxContent>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pacing w:line="400" w:lineRule="exact"/>
        <w:rPr>
          <w:rFonts w:ascii="宋体" w:hAnsi="宋体" w:cs="宋体"/>
          <w:b/>
          <w:bCs/>
          <w:color w:val="auto"/>
          <w:sz w:val="24"/>
          <w:szCs w:val="24"/>
          <w:highlight w:val="none"/>
        </w:rPr>
      </w:pPr>
    </w:p>
    <w:p>
      <w:pPr>
        <w:snapToGrid w:val="0"/>
        <w:spacing w:line="400" w:lineRule="exact"/>
        <w:rPr>
          <w:rFonts w:ascii="宋体" w:hAnsi="宋体" w:cs="宋体"/>
          <w:color w:val="auto"/>
          <w:sz w:val="24"/>
          <w:szCs w:val="24"/>
          <w:highlight w:val="none"/>
        </w:rPr>
      </w:pPr>
    </w:p>
    <w:p>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snapToGrid w:val="0"/>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法定代表人授权委托书</w:t>
      </w:r>
    </w:p>
    <w:p>
      <w:pPr>
        <w:snapToGrid w:val="0"/>
        <w:spacing w:line="360" w:lineRule="auto"/>
        <w:rPr>
          <w:rFonts w:ascii="宋体" w:hAnsi="宋体" w:cs="宋体"/>
          <w:bCs/>
          <w:color w:val="auto"/>
          <w:spacing w:val="-6"/>
          <w:sz w:val="24"/>
          <w:szCs w:val="24"/>
          <w:highlight w:val="none"/>
        </w:rPr>
      </w:pPr>
    </w:p>
    <w:p>
      <w:pPr>
        <w:snapToGrid w:val="0"/>
        <w:spacing w:line="360" w:lineRule="auto"/>
        <w:rPr>
          <w:rFonts w:ascii="宋体" w:hAnsi="宋体" w:cs="宋体"/>
          <w:b/>
          <w:bCs/>
          <w:color w:val="auto"/>
          <w:spacing w:val="-6"/>
          <w:sz w:val="24"/>
          <w:szCs w:val="24"/>
          <w:highlight w:val="none"/>
        </w:rPr>
      </w:pPr>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温州理工学院、浙江乐诚工程咨询有限公司</w:t>
      </w:r>
      <w:r>
        <w:rPr>
          <w:rFonts w:hint="eastAsia" w:ascii="宋体" w:hAnsi="宋体" w:cs="宋体"/>
          <w:color w:val="auto"/>
          <w:spacing w:val="-6"/>
          <w:sz w:val="24"/>
          <w:szCs w:val="24"/>
          <w:highlight w:val="none"/>
        </w:rPr>
        <w:t>：</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我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（投标人名称）的法定代表人，现授权委托本单位在职职工</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（姓名）（身份证号：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）以我方的名义参加温州理工学院（采购项目</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）项目（项目编号：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pPr>
        <w:snapToGrid w:val="0"/>
        <w:spacing w:line="288" w:lineRule="auto"/>
        <w:rPr>
          <w:rFonts w:ascii="宋体" w:hAnsi="宋体" w:cs="宋体"/>
          <w:color w:val="auto"/>
          <w:spacing w:val="-6"/>
          <w:sz w:val="24"/>
          <w:szCs w:val="24"/>
          <w:highlight w:val="none"/>
        </w:rPr>
      </w:pPr>
    </w:p>
    <w:p>
      <w:pPr>
        <w:snapToGrid w:val="0"/>
        <w:spacing w:line="288" w:lineRule="auto"/>
        <w:rPr>
          <w:rFonts w:ascii="宋体" w:hAnsi="宋体" w:cs="宋体"/>
          <w:color w:val="auto"/>
          <w:spacing w:val="-6"/>
          <w:sz w:val="24"/>
          <w:szCs w:val="24"/>
          <w:highlight w:val="none"/>
        </w:rPr>
      </w:pPr>
    </w:p>
    <w:p>
      <w:pPr>
        <w:snapToGrid w:val="0"/>
        <w:spacing w:line="288" w:lineRule="auto"/>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pPr>
        <w:snapToGrid w:val="0"/>
        <w:spacing w:line="288" w:lineRule="auto"/>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供应商名称（CA电子公章）：</w:t>
      </w:r>
    </w:p>
    <w:p>
      <w:pPr>
        <w:snapToGrid w:val="0"/>
        <w:spacing w:line="288" w:lineRule="auto"/>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pPr>
        <w:spacing w:line="288" w:lineRule="auto"/>
        <w:rPr>
          <w:rFonts w:ascii="宋体" w:hAnsi="宋体" w:cs="宋体"/>
          <w:color w:val="auto"/>
          <w:spacing w:val="-6"/>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0" t="0" r="9525" b="1905"/>
                <wp:wrapNone/>
                <wp:docPr id="5" name="1031"/>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1031"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0pXydkAAAAJAQAADwAAAAAAAAABACAAAAAiAAAAZHJzL2Rvd25y&#10;ZXYueG1sUEsBAhQAFAAAAAgAh07iQJrXeRr9AQAAPgQAAA4AAAAAAAAAAQAgAAAAKAEAAGRycy9l&#10;Mm9Eb2MueG1sUEsFBgAAAAAGAAYAWQEAAJcFAAAAAA==&#10;">
                <v:fill on="t" focussize="0,0"/>
                <v:stroke color="#000000" joinstyle="miter"/>
                <v:imagedata o:title=""/>
                <o:lock v:ext="edit" aspectratio="f"/>
                <v:textbox>
                  <w:txbxContent>
                    <w:p>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288" w:lineRule="auto"/>
        <w:rPr>
          <w:rFonts w:ascii="宋体" w:hAnsi="宋体" w:cs="宋体"/>
          <w:color w:val="auto"/>
          <w:spacing w:val="-6"/>
          <w:sz w:val="24"/>
          <w:szCs w:val="24"/>
          <w:highlight w:val="none"/>
        </w:rPr>
      </w:pPr>
    </w:p>
    <w:p>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pPr>
        <w:spacing w:line="360" w:lineRule="auto"/>
        <w:ind w:firstLine="240" w:firstLineChars="100"/>
        <w:rPr>
          <w:rFonts w:ascii="宋体" w:hAnsi="宋体" w:cs="宋体"/>
          <w:color w:val="auto"/>
          <w:sz w:val="24"/>
          <w:szCs w:val="24"/>
          <w:highlight w:val="none"/>
        </w:rPr>
      </w:pPr>
    </w:p>
    <w:p>
      <w:pPr>
        <w:pStyle w:val="14"/>
        <w:spacing w:after="0"/>
        <w:ind w:left="1470" w:right="0" w:rightChars="0"/>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pStyle w:val="12"/>
        <w:rPr>
          <w:rFonts w:ascii="宋体" w:hAnsi="宋体" w:cs="宋体"/>
          <w:color w:val="auto"/>
          <w:highlight w:val="none"/>
        </w:rPr>
      </w:pPr>
    </w:p>
    <w:p>
      <w:pPr>
        <w:spacing w:line="400" w:lineRule="exact"/>
        <w:rPr>
          <w:rFonts w:ascii="宋体" w:hAnsi="宋体" w:cs="宋体"/>
          <w:b/>
          <w:bCs/>
          <w:color w:val="auto"/>
          <w:sz w:val="28"/>
          <w:szCs w:val="28"/>
          <w:highlight w:val="none"/>
        </w:rPr>
      </w:pPr>
      <w:r>
        <w:rPr>
          <w:rFonts w:hint="eastAsia" w:ascii="宋体" w:hAnsi="宋体" w:cs="宋体"/>
          <w:b/>
          <w:color w:val="auto"/>
          <w:sz w:val="24"/>
          <w:szCs w:val="24"/>
          <w:highlight w:val="none"/>
        </w:rPr>
        <w:t>附件8</w:t>
      </w:r>
    </w:p>
    <w:p>
      <w:pPr>
        <w:snapToGrid w:val="0"/>
        <w:spacing w:line="400" w:lineRule="exact"/>
        <w:jc w:val="center"/>
        <w:rPr>
          <w:rFonts w:ascii="宋体" w:hAnsi="宋体" w:cs="宋体"/>
          <w:b/>
          <w:bCs/>
          <w:color w:val="auto"/>
          <w:sz w:val="24"/>
          <w:szCs w:val="24"/>
          <w:highlight w:val="none"/>
        </w:rPr>
      </w:pPr>
      <w:r>
        <w:rPr>
          <w:rFonts w:hint="eastAsia" w:ascii="宋体" w:hAnsi="宋体" w:cs="宋体"/>
          <w:b/>
          <w:bCs/>
          <w:color w:val="auto"/>
          <w:sz w:val="28"/>
          <w:szCs w:val="28"/>
          <w:highlight w:val="none"/>
        </w:rPr>
        <w:t>投标声明书</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温州理工学院、浙江乐诚工程咨询有限公司</w:t>
      </w:r>
      <w:r>
        <w:rPr>
          <w:rFonts w:hint="eastAsia" w:ascii="宋体" w:hAnsi="宋体" w:cs="宋体"/>
          <w:color w:val="auto"/>
          <w:sz w:val="24"/>
          <w:szCs w:val="24"/>
          <w:highlight w:val="none"/>
        </w:rPr>
        <w:t>：</w:t>
      </w:r>
    </w:p>
    <w:p>
      <w:pPr>
        <w:snapToGrid w:val="0"/>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400" w:lineRule="exact"/>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pPr>
        <w:pStyle w:val="13"/>
        <w:tabs>
          <w:tab w:val="left" w:pos="939"/>
        </w:tabs>
        <w:snapToGrid w:val="0"/>
        <w:spacing w:line="400" w:lineRule="exact"/>
        <w:ind w:left="458" w:leftChars="0" w:hanging="458" w:hangingChars="191"/>
        <w:rPr>
          <w:rFonts w:ascii="宋体" w:hAnsi="宋体" w:cs="宋体"/>
          <w:color w:val="auto"/>
          <w:sz w:val="24"/>
          <w:szCs w:val="24"/>
          <w:highlight w:val="none"/>
        </w:rPr>
      </w:pPr>
    </w:p>
    <w:p>
      <w:pPr>
        <w:pStyle w:val="55"/>
        <w:snapToGrid w:val="0"/>
        <w:spacing w:line="400" w:lineRule="exact"/>
        <w:ind w:firstLine="200"/>
        <w:rPr>
          <w:rFonts w:ascii="宋体" w:hAnsi="宋体" w:cs="宋体"/>
          <w:color w:val="auto"/>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ind w:firstLine="435"/>
        <w:jc w:val="center"/>
        <w:rPr>
          <w:rFonts w:ascii="宋体" w:hAnsi="宋体" w:cs="宋体"/>
          <w:b/>
          <w:color w:val="auto"/>
          <w:spacing w:val="-6"/>
          <w:sz w:val="24"/>
          <w:highlight w:val="none"/>
        </w:rPr>
      </w:pPr>
    </w:p>
    <w:p>
      <w:pPr>
        <w:pStyle w:val="14"/>
        <w:spacing w:after="0" w:line="400" w:lineRule="exact"/>
        <w:ind w:left="0" w:leftChars="0" w:right="0" w:rightChars="0"/>
        <w:rPr>
          <w:rFonts w:ascii="宋体" w:hAnsi="宋体" w:cs="宋体"/>
          <w:color w:val="auto"/>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spacing w:line="400" w:lineRule="exact"/>
        <w:ind w:firstLine="435"/>
        <w:jc w:val="center"/>
        <w:rPr>
          <w:rFonts w:ascii="宋体" w:hAnsi="宋体" w:cs="宋体"/>
          <w:b/>
          <w:color w:val="auto"/>
          <w:spacing w:val="-6"/>
          <w:sz w:val="24"/>
          <w:highlight w:val="none"/>
        </w:rPr>
      </w:pPr>
    </w:p>
    <w:p>
      <w:pPr>
        <w:pStyle w:val="2"/>
        <w:rPr>
          <w:rFonts w:ascii="宋体" w:hAnsi="宋体" w:cs="宋体"/>
          <w:b/>
          <w:color w:val="auto"/>
          <w:spacing w:val="-6"/>
          <w:sz w:val="24"/>
          <w:highlight w:val="none"/>
        </w:rPr>
      </w:pPr>
    </w:p>
    <w:p>
      <w:pPr>
        <w:rPr>
          <w:color w:val="auto"/>
          <w:highlight w:val="none"/>
        </w:rPr>
      </w:pPr>
    </w:p>
    <w:p>
      <w:pPr>
        <w:spacing w:line="400" w:lineRule="exact"/>
        <w:ind w:firstLine="435"/>
        <w:jc w:val="center"/>
        <w:rPr>
          <w:rFonts w:ascii="宋体" w:hAnsi="宋体" w:cs="宋体"/>
          <w:b/>
          <w:color w:val="auto"/>
          <w:spacing w:val="-6"/>
          <w:sz w:val="24"/>
          <w:highlight w:val="none"/>
        </w:rPr>
      </w:pPr>
    </w:p>
    <w:p>
      <w:pPr>
        <w:pStyle w:val="14"/>
        <w:ind w:left="1470" w:right="1470"/>
        <w:rPr>
          <w:rFonts w:ascii="宋体" w:hAnsi="宋体" w:cs="宋体"/>
          <w:b/>
          <w:color w:val="auto"/>
          <w:spacing w:val="-6"/>
          <w:sz w:val="24"/>
          <w:highlight w:val="none"/>
        </w:rPr>
      </w:pPr>
    </w:p>
    <w:p>
      <w:pPr>
        <w:pStyle w:val="14"/>
        <w:ind w:left="1470" w:right="1470"/>
        <w:rPr>
          <w:rFonts w:ascii="宋体" w:hAnsi="宋体" w:cs="宋体"/>
          <w:b/>
          <w:color w:val="auto"/>
          <w:spacing w:val="-6"/>
          <w:sz w:val="24"/>
          <w:highlight w:val="none"/>
        </w:rPr>
      </w:pPr>
    </w:p>
    <w:p>
      <w:pPr>
        <w:spacing w:line="400" w:lineRule="exact"/>
        <w:rPr>
          <w:rFonts w:ascii="宋体" w:hAnsi="宋体" w:cs="宋体"/>
          <w:b/>
          <w:color w:val="auto"/>
          <w:sz w:val="32"/>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附件9</w:t>
      </w:r>
    </w:p>
    <w:p>
      <w:pPr>
        <w:spacing w:line="400" w:lineRule="exact"/>
        <w:ind w:firstLine="435"/>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投标人基本情况表</w:t>
      </w:r>
    </w:p>
    <w:tbl>
      <w:tblPr>
        <w:tblStyle w:val="28"/>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pPr>
              <w:spacing w:line="400" w:lineRule="exact"/>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pPr>
              <w:spacing w:line="400" w:lineRule="exact"/>
              <w:rPr>
                <w:rFonts w:ascii="宋体" w:hAnsi="宋体" w:cs="宋体"/>
                <w:color w:val="auto"/>
                <w:spacing w:val="-6"/>
                <w:sz w:val="24"/>
                <w:highlight w:val="none"/>
              </w:rPr>
            </w:pPr>
          </w:p>
        </w:tc>
      </w:tr>
    </w:tbl>
    <w:p>
      <w:pPr>
        <w:spacing w:line="400" w:lineRule="exact"/>
        <w:rPr>
          <w:rFonts w:ascii="宋体" w:hAnsi="宋体" w:cs="宋体"/>
          <w:color w:val="auto"/>
          <w:spacing w:val="-6"/>
          <w:sz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说明：所有投标人都须填写此表，此表可根据实际情况自行调整。</w:t>
      </w:r>
    </w:p>
    <w:p>
      <w:pPr>
        <w:spacing w:line="400" w:lineRule="exact"/>
        <w:rPr>
          <w:rFonts w:ascii="宋体" w:hAnsi="宋体" w:cs="宋体"/>
          <w:color w:val="auto"/>
          <w:spacing w:val="-6"/>
          <w:sz w:val="24"/>
          <w:highlight w:val="none"/>
        </w:rPr>
      </w:pPr>
    </w:p>
    <w:p>
      <w:pPr>
        <w:spacing w:line="400" w:lineRule="exact"/>
        <w:rPr>
          <w:rFonts w:ascii="宋体" w:hAnsi="宋体" w:cs="宋体"/>
          <w:color w:val="auto"/>
          <w:spacing w:val="-6"/>
          <w:sz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spacing w:line="400" w:lineRule="exact"/>
        <w:jc w:val="center"/>
        <w:rPr>
          <w:rFonts w:ascii="宋体" w:hAnsi="宋体" w:cs="宋体"/>
          <w:color w:val="auto"/>
          <w:sz w:val="24"/>
          <w:szCs w:val="24"/>
          <w:highlight w:val="none"/>
        </w:rPr>
      </w:pPr>
    </w:p>
    <w:p>
      <w:pPr>
        <w:pStyle w:val="14"/>
        <w:spacing w:after="0" w:line="400" w:lineRule="exact"/>
        <w:ind w:left="0" w:leftChars="0" w:right="0" w:rightChars="0"/>
        <w:rPr>
          <w:rFonts w:ascii="宋体" w:hAnsi="宋体" w:cs="宋体"/>
          <w:color w:val="auto"/>
          <w:highlight w:val="none"/>
        </w:rPr>
      </w:pPr>
    </w:p>
    <w:p>
      <w:pPr>
        <w:spacing w:line="400" w:lineRule="exact"/>
        <w:rPr>
          <w:rFonts w:ascii="宋体" w:hAnsi="宋体" w:cs="宋体"/>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附件10</w:t>
      </w:r>
    </w:p>
    <w:p>
      <w:pPr>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节能、环保产品证明材料（如有）</w:t>
      </w:r>
    </w:p>
    <w:p>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说明：</w:t>
      </w:r>
    </w:p>
    <w:p>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color w:val="auto"/>
          <w:highlight w:val="none"/>
        </w:rPr>
        <w:fldChar w:fldCharType="begin"/>
      </w:r>
      <w:r>
        <w:rPr>
          <w:color w:val="auto"/>
          <w:highlight w:val="none"/>
        </w:rPr>
        <w:instrText xml:space="preserve"> HYPERLINK "http://www.ccgp.gov.cn/zcfg/mof/201903/t20190330_11833800.htm" \t "http://www.ccgp.gov.cn/jnhb/jnhbqd/_blank" \o "关于印发环境标志产品政府采购品目清单的通知（财库〔2019〕18号）" </w:instrText>
      </w:r>
      <w:r>
        <w:rPr>
          <w:rFonts w:hint="eastAsia"/>
          <w:color w:val="auto"/>
          <w:highlight w:val="none"/>
        </w:rPr>
        <w:fldChar w:fldCharType="separate"/>
      </w:r>
      <w:r>
        <w:rPr>
          <w:rFonts w:hint="eastAsia" w:ascii="宋体" w:hAnsi="宋体" w:cs="宋体"/>
          <w:b/>
          <w:color w:val="auto"/>
          <w:sz w:val="22"/>
          <w:highlight w:val="none"/>
        </w:rPr>
        <w:t>关于印发环境标志产品政府采购品目清单的通知（财库〔2019〕18号）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"http://www.ccgp.gov.cn/zcfg/mof/201903/t20190330_11833800.htm" </w:instrText>
      </w:r>
      <w:r>
        <w:rPr>
          <w:color w:val="auto"/>
          <w:highlight w:val="none"/>
        </w:rPr>
        <w:fldChar w:fldCharType="separate"/>
      </w:r>
      <w:r>
        <w:rPr>
          <w:rFonts w:hint="eastAsia" w:ascii="宋体" w:hAnsi="宋体" w:cs="宋体"/>
          <w:b/>
          <w:color w:val="auto"/>
          <w:sz w:val="22"/>
          <w:highlight w:val="none"/>
        </w:rPr>
        <w:t>http://www.ccgp.gov.cn/zcfg/mof/201903/t20190330_11833800.htm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和</w:t>
      </w:r>
      <w:r>
        <w:rPr>
          <w:rFonts w:hint="eastAsia"/>
          <w:color w:val="auto"/>
          <w:highlight w:val="none"/>
        </w:rPr>
        <w:fldChar w:fldCharType="begin"/>
      </w:r>
      <w:r>
        <w:rPr>
          <w:color w:val="auto"/>
          <w:highlight w:val="none"/>
        </w:rPr>
        <w:instrText xml:space="preserve"> HYPERLINK "http://www.ccgp.gov.cn/zcfg/mof/201904/t20190403_11849836.htm" \t "http://www.ccgp.gov.cn/jnhb/jnhbqd/_blank" \o "关于印发节能产品政府采购品目清单的通知（财库〔2019〕19号）" </w:instrText>
      </w:r>
      <w:r>
        <w:rPr>
          <w:rFonts w:hint="eastAsia"/>
          <w:color w:val="auto"/>
          <w:highlight w:val="none"/>
        </w:rPr>
        <w:fldChar w:fldCharType="separate"/>
      </w:r>
      <w:r>
        <w:rPr>
          <w:rFonts w:hint="eastAsia" w:ascii="宋体" w:hAnsi="宋体" w:cs="宋体"/>
          <w:b/>
          <w:color w:val="auto"/>
          <w:sz w:val="22"/>
          <w:highlight w:val="none"/>
        </w:rPr>
        <w:t>关于印发节能产品政府采购品目清单的通知（财库〔2019〕19号）</w:t>
      </w:r>
      <w:r>
        <w:rPr>
          <w:rFonts w:hint="eastAsia" w:ascii="宋体" w:hAnsi="宋体" w:cs="宋体"/>
          <w:b/>
          <w:color w:val="auto"/>
          <w:sz w:val="22"/>
          <w:highlight w:val="none"/>
        </w:rPr>
        <w:fldChar w:fldCharType="end"/>
      </w:r>
      <w:r>
        <w:rPr>
          <w:color w:val="auto"/>
          <w:highlight w:val="none"/>
        </w:rPr>
        <w:fldChar w:fldCharType="begin"/>
      </w:r>
      <w:r>
        <w:rPr>
          <w:color w:val="auto"/>
          <w:highlight w:val="none"/>
        </w:rPr>
        <w:instrText xml:space="preserve"> HYPERLINK "http://www.ccgp.gov.cn/zcfg/mof/201904/t20190403_11849836.htm" </w:instrText>
      </w:r>
      <w:r>
        <w:rPr>
          <w:color w:val="auto"/>
          <w:highlight w:val="none"/>
        </w:rPr>
        <w:fldChar w:fldCharType="separate"/>
      </w:r>
      <w:r>
        <w:rPr>
          <w:rFonts w:hint="eastAsia" w:ascii="宋体" w:hAnsi="宋体" w:cs="宋体"/>
          <w:b/>
          <w:color w:val="auto"/>
          <w:sz w:val="22"/>
          <w:highlight w:val="none"/>
        </w:rPr>
        <w:t>http://www.ccgp.gov.cn/zcfg/mof/201904/t20190403_11849836.htm</w:t>
      </w:r>
      <w:r>
        <w:rPr>
          <w:rFonts w:hint="eastAsia" w:ascii="宋体" w:hAnsi="宋体" w:cs="宋体"/>
          <w:b/>
          <w:color w:val="auto"/>
          <w:sz w:val="22"/>
          <w:highlight w:val="none"/>
        </w:rPr>
        <w:fldChar w:fldCharType="end"/>
      </w:r>
      <w:r>
        <w:rPr>
          <w:rFonts w:hint="eastAsia" w:ascii="宋体" w:hAnsi="宋体" w:cs="宋体"/>
          <w:b/>
          <w:color w:val="auto"/>
          <w:sz w:val="22"/>
          <w:highlight w:val="none"/>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pPr>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▲注：采购需求中要求提供的产品属于节能产品政府采购品目清单中强制采购的，投标人须提供该清单内产品，并按上款要求提供节能产品认证证书，否则其投标无效。</w:t>
      </w:r>
    </w:p>
    <w:p>
      <w:pPr>
        <w:spacing w:line="360" w:lineRule="exact"/>
        <w:jc w:val="left"/>
        <w:rPr>
          <w:rFonts w:ascii="宋体" w:hAnsi="宋体" w:cs="宋体"/>
          <w:b/>
          <w:color w:val="auto"/>
          <w:sz w:val="22"/>
          <w:highlight w:val="none"/>
        </w:rPr>
      </w:pPr>
      <w:r>
        <w:rPr>
          <w:rFonts w:hint="eastAsia" w:ascii="宋体" w:hAnsi="宋体" w:cs="宋体"/>
          <w:b/>
          <w:color w:val="auto"/>
          <w:sz w:val="22"/>
          <w:highlight w:val="none"/>
        </w:rPr>
        <w:t>2、评标委员会成员审查此项只根据投标文件本身的内容，不再寻求其他的外部证据。</w:t>
      </w:r>
    </w:p>
    <w:p>
      <w:pPr>
        <w:spacing w:line="400" w:lineRule="exact"/>
        <w:jc w:val="center"/>
        <w:rPr>
          <w:rFonts w:ascii="宋体" w:hAnsi="宋体" w:cs="宋体"/>
          <w:b/>
          <w:color w:val="auto"/>
          <w:sz w:val="24"/>
          <w:szCs w:val="24"/>
          <w:highlight w:val="none"/>
        </w:rPr>
      </w:pP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附表</w:t>
      </w:r>
    </w:p>
    <w:p>
      <w:pPr>
        <w:rPr>
          <w:rFonts w:ascii="宋体" w:hAnsi="宋体" w:cs="宋体"/>
          <w:color w:val="auto"/>
          <w:sz w:val="22"/>
          <w:highlight w:val="none"/>
        </w:rPr>
      </w:pPr>
      <w:r>
        <w:rPr>
          <w:rFonts w:hint="eastAsia" w:ascii="宋体" w:hAnsi="宋体" w:cs="宋体"/>
          <w:color w:val="auto"/>
          <w:sz w:val="22"/>
          <w:highlight w:val="none"/>
        </w:rPr>
        <w:t>（1）投标产品中节能产品明细清单</w:t>
      </w:r>
    </w:p>
    <w:tbl>
      <w:tblPr>
        <w:tblStyle w:val="2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r>
    </w:tbl>
    <w:p>
      <w:pPr>
        <w:rPr>
          <w:rFonts w:ascii="宋体" w:hAnsi="宋体" w:cs="宋体"/>
          <w:color w:val="auto"/>
          <w:sz w:val="22"/>
          <w:highlight w:val="none"/>
        </w:rPr>
      </w:pPr>
    </w:p>
    <w:p>
      <w:pPr>
        <w:rPr>
          <w:rFonts w:ascii="宋体" w:hAnsi="宋体" w:cs="宋体"/>
          <w:color w:val="auto"/>
          <w:sz w:val="22"/>
          <w:highlight w:val="none"/>
        </w:rPr>
      </w:pPr>
      <w:r>
        <w:rPr>
          <w:rFonts w:hint="eastAsia" w:ascii="宋体" w:hAnsi="宋体" w:cs="宋体"/>
          <w:color w:val="auto"/>
          <w:sz w:val="22"/>
          <w:highlight w:val="none"/>
        </w:rPr>
        <w:t>（2）投标产品中环保产品明细清单</w:t>
      </w:r>
    </w:p>
    <w:tbl>
      <w:tblPr>
        <w:tblStyle w:val="28"/>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r>
              <w:rPr>
                <w:rFonts w:hint="eastAsia" w:ascii="宋体" w:hAnsi="宋体" w:cs="宋体"/>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highlight w:val="none"/>
              </w:rPr>
            </w:pPr>
          </w:p>
        </w:tc>
      </w:tr>
    </w:tbl>
    <w:p>
      <w:pPr>
        <w:rPr>
          <w:rFonts w:ascii="宋体" w:hAnsi="宋体" w:cs="宋体"/>
          <w:color w:val="auto"/>
          <w:sz w:val="22"/>
          <w:highlight w:val="none"/>
        </w:rPr>
      </w:pPr>
    </w:p>
    <w:p>
      <w:pPr>
        <w:rPr>
          <w:rFonts w:ascii="宋体" w:hAnsi="宋体" w:cs="宋体"/>
          <w:b/>
          <w:color w:val="auto"/>
          <w:sz w:val="22"/>
          <w:highlight w:val="none"/>
        </w:rPr>
      </w:pPr>
      <w:r>
        <w:rPr>
          <w:rFonts w:hint="eastAsia" w:ascii="宋体" w:hAnsi="宋体" w:cs="宋体"/>
          <w:color w:val="auto"/>
          <w:sz w:val="22"/>
          <w:highlight w:val="none"/>
        </w:rPr>
        <w:t>备注：节能产品、环境标志产品认证证书附后</w:t>
      </w:r>
    </w:p>
    <w:p>
      <w:pPr>
        <w:pStyle w:val="36"/>
        <w:rPr>
          <w:rFonts w:cs="宋体"/>
          <w:b/>
          <w:color w:val="auto"/>
          <w:szCs w:val="24"/>
          <w:highlight w:val="none"/>
        </w:rPr>
      </w:pPr>
    </w:p>
    <w:p>
      <w:pPr>
        <w:pStyle w:val="36"/>
        <w:rPr>
          <w:rFonts w:cs="宋体"/>
          <w:b/>
          <w:color w:val="auto"/>
          <w:szCs w:val="24"/>
          <w:highlight w:val="none"/>
        </w:rPr>
      </w:pPr>
    </w:p>
    <w:p>
      <w:pPr>
        <w:pStyle w:val="36"/>
        <w:rPr>
          <w:rFonts w:cs="宋体"/>
          <w:b/>
          <w:color w:val="auto"/>
          <w:szCs w:val="24"/>
          <w:highlight w:val="none"/>
        </w:rPr>
      </w:pPr>
    </w:p>
    <w:p>
      <w:pPr>
        <w:pStyle w:val="36"/>
        <w:rPr>
          <w:rFonts w:cs="宋体"/>
          <w:b/>
          <w:color w:val="auto"/>
          <w:szCs w:val="24"/>
          <w:highlight w:val="none"/>
        </w:rPr>
      </w:pPr>
    </w:p>
    <w:p>
      <w:pPr>
        <w:pStyle w:val="36"/>
        <w:rPr>
          <w:rFonts w:cs="宋体"/>
          <w:b/>
          <w:color w:val="auto"/>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附件11</w:t>
      </w:r>
    </w:p>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投标人同类项目业绩一览表（如有）</w:t>
      </w:r>
    </w:p>
    <w:p>
      <w:pPr>
        <w:spacing w:line="400" w:lineRule="exact"/>
        <w:rPr>
          <w:rFonts w:ascii="宋体" w:hAnsi="宋体" w:cs="宋体"/>
          <w:b/>
          <w:bCs/>
          <w:color w:val="auto"/>
          <w:sz w:val="24"/>
          <w:szCs w:val="24"/>
          <w:highlight w:val="none"/>
        </w:rPr>
      </w:pPr>
    </w:p>
    <w:p>
      <w:pPr>
        <w:pStyle w:val="14"/>
        <w:spacing w:after="0" w:line="400" w:lineRule="exact"/>
        <w:ind w:left="0" w:leftChars="0" w:right="0" w:rightChars="0"/>
        <w:rPr>
          <w:rFonts w:ascii="宋体" w:hAnsi="宋体" w:cs="宋体"/>
          <w:bCs/>
          <w:color w:val="auto"/>
          <w:sz w:val="24"/>
          <w:szCs w:val="24"/>
          <w:highlight w:val="none"/>
        </w:rPr>
      </w:pPr>
      <w:r>
        <w:rPr>
          <w:rFonts w:hint="eastAsia" w:ascii="宋体" w:hAnsi="宋体" w:cs="宋体"/>
          <w:b/>
          <w:color w:val="auto"/>
          <w:sz w:val="24"/>
          <w:szCs w:val="24"/>
          <w:highlight w:val="none"/>
        </w:rPr>
        <w:t xml:space="preserve">项目名称：                         项目编号：                  </w:t>
      </w:r>
    </w:p>
    <w:tbl>
      <w:tblPr>
        <w:tblStyle w:val="28"/>
        <w:tblW w:w="89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483"/>
        <w:gridCol w:w="1463"/>
        <w:gridCol w:w="1275"/>
        <w:gridCol w:w="1276"/>
        <w:gridCol w:w="25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83"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用户名称</w:t>
            </w:r>
          </w:p>
        </w:tc>
        <w:tc>
          <w:tcPr>
            <w:tcW w:w="1463"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75"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76"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2535"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用户联系方式/手机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84" w:type="dxa"/>
            <w:vAlign w:val="center"/>
          </w:tcPr>
          <w:p>
            <w:pPr>
              <w:spacing w:line="400" w:lineRule="exact"/>
              <w:jc w:val="center"/>
              <w:rPr>
                <w:rFonts w:ascii="宋体" w:hAnsi="宋体" w:cs="宋体"/>
                <w:b/>
                <w:bCs/>
                <w:color w:val="auto"/>
                <w:sz w:val="24"/>
                <w:szCs w:val="24"/>
                <w:highlight w:val="none"/>
              </w:rPr>
            </w:pPr>
          </w:p>
        </w:tc>
        <w:tc>
          <w:tcPr>
            <w:tcW w:w="1483" w:type="dxa"/>
            <w:vAlign w:val="center"/>
          </w:tcPr>
          <w:p>
            <w:pPr>
              <w:spacing w:line="400" w:lineRule="exact"/>
              <w:jc w:val="center"/>
              <w:rPr>
                <w:rFonts w:ascii="宋体" w:hAnsi="宋体" w:cs="宋体"/>
                <w:b/>
                <w:bCs/>
                <w:color w:val="auto"/>
                <w:sz w:val="24"/>
                <w:szCs w:val="24"/>
                <w:highlight w:val="none"/>
              </w:rPr>
            </w:pPr>
          </w:p>
        </w:tc>
        <w:tc>
          <w:tcPr>
            <w:tcW w:w="1463" w:type="dxa"/>
            <w:vAlign w:val="center"/>
          </w:tcPr>
          <w:p>
            <w:pPr>
              <w:spacing w:line="400" w:lineRule="exact"/>
              <w:jc w:val="center"/>
              <w:rPr>
                <w:rFonts w:ascii="宋体" w:hAnsi="宋体" w:cs="宋体"/>
                <w:b/>
                <w:bCs/>
                <w:color w:val="auto"/>
                <w:sz w:val="24"/>
                <w:szCs w:val="24"/>
                <w:highlight w:val="none"/>
              </w:rPr>
            </w:pPr>
          </w:p>
        </w:tc>
        <w:tc>
          <w:tcPr>
            <w:tcW w:w="1275" w:type="dxa"/>
            <w:vAlign w:val="center"/>
          </w:tcPr>
          <w:p>
            <w:pPr>
              <w:spacing w:line="400" w:lineRule="exact"/>
              <w:jc w:val="center"/>
              <w:rPr>
                <w:rFonts w:ascii="宋体" w:hAnsi="宋体" w:cs="宋体"/>
                <w:b/>
                <w:bCs/>
                <w:color w:val="auto"/>
                <w:sz w:val="24"/>
                <w:szCs w:val="24"/>
                <w:highlight w:val="none"/>
              </w:rPr>
            </w:pPr>
          </w:p>
        </w:tc>
        <w:tc>
          <w:tcPr>
            <w:tcW w:w="1276" w:type="dxa"/>
            <w:vAlign w:val="center"/>
          </w:tcPr>
          <w:p>
            <w:pPr>
              <w:spacing w:line="400" w:lineRule="exact"/>
              <w:jc w:val="center"/>
              <w:rPr>
                <w:rFonts w:ascii="宋体" w:hAnsi="宋体" w:cs="宋体"/>
                <w:b/>
                <w:bCs/>
                <w:color w:val="auto"/>
                <w:sz w:val="24"/>
                <w:szCs w:val="24"/>
                <w:highlight w:val="none"/>
              </w:rPr>
            </w:pPr>
          </w:p>
        </w:tc>
        <w:tc>
          <w:tcPr>
            <w:tcW w:w="2535" w:type="dxa"/>
          </w:tcPr>
          <w:p>
            <w:pPr>
              <w:spacing w:line="400" w:lineRule="exact"/>
              <w:jc w:val="center"/>
              <w:rPr>
                <w:rFonts w:ascii="宋体" w:hAnsi="宋体" w:cs="宋体"/>
                <w:b/>
                <w:bCs/>
                <w:color w:val="auto"/>
                <w:sz w:val="24"/>
                <w:szCs w:val="24"/>
                <w:highlight w:val="none"/>
              </w:rPr>
            </w:pPr>
          </w:p>
        </w:tc>
      </w:tr>
    </w:tbl>
    <w:p>
      <w:pPr>
        <w:spacing w:line="400" w:lineRule="exact"/>
        <w:ind w:left="706" w:hanging="705" w:hangingChars="294"/>
        <w:rPr>
          <w:rFonts w:ascii="宋体" w:hAnsi="宋体" w:cs="宋体"/>
          <w:color w:val="auto"/>
          <w:sz w:val="24"/>
          <w:szCs w:val="24"/>
          <w:highlight w:val="none"/>
        </w:rPr>
      </w:pPr>
      <w:r>
        <w:rPr>
          <w:rFonts w:hint="eastAsia" w:ascii="宋体" w:hAnsi="宋体" w:cs="宋体"/>
          <w:color w:val="auto"/>
          <w:sz w:val="24"/>
          <w:szCs w:val="24"/>
          <w:highlight w:val="none"/>
        </w:rPr>
        <w:t>备注：证明材料附后</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附件12</w:t>
      </w:r>
    </w:p>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采购需求偏离表</w:t>
      </w:r>
    </w:p>
    <w:p>
      <w:pPr>
        <w:pStyle w:val="14"/>
        <w:spacing w:after="0" w:line="400" w:lineRule="exact"/>
        <w:ind w:left="0" w:leftChars="0" w:right="0" w:rightChars="0"/>
        <w:rPr>
          <w:rFonts w:ascii="宋体" w:hAnsi="宋体" w:cs="宋体"/>
          <w:color w:val="auto"/>
          <w:highlight w:val="none"/>
        </w:rPr>
      </w:pPr>
      <w:r>
        <w:rPr>
          <w:rFonts w:hint="eastAsia" w:ascii="宋体" w:hAnsi="宋体" w:cs="宋体"/>
          <w:b/>
          <w:color w:val="auto"/>
          <w:sz w:val="24"/>
          <w:szCs w:val="24"/>
          <w:highlight w:val="none"/>
        </w:rPr>
        <w:t xml:space="preserve">项目名称：                       项目编号：                  </w:t>
      </w:r>
    </w:p>
    <w:tbl>
      <w:tblPr>
        <w:tblStyle w:val="28"/>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招标文件要求</w:t>
            </w:r>
          </w:p>
        </w:tc>
        <w:tc>
          <w:tcPr>
            <w:tcW w:w="3219"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投标文件对应规范</w:t>
            </w:r>
          </w:p>
        </w:tc>
        <w:tc>
          <w:tcPr>
            <w:tcW w:w="1822"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676" w:type="dxa"/>
            <w:vAlign w:val="center"/>
          </w:tcPr>
          <w:p>
            <w:pPr>
              <w:snapToGrid w:val="0"/>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4" w:type="dxa"/>
            <w:gridSpan w:val="5"/>
            <w:vAlign w:val="center"/>
          </w:tcPr>
          <w:p>
            <w:pPr>
              <w:snapToGrid w:val="0"/>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rPr>
                <w:rFonts w:ascii="宋体" w:hAnsi="宋体" w:cs="宋体"/>
                <w:color w:val="auto"/>
                <w:spacing w:val="-6"/>
                <w:sz w:val="24"/>
                <w:highlight w:val="none"/>
              </w:rPr>
            </w:pPr>
          </w:p>
        </w:tc>
        <w:tc>
          <w:tcPr>
            <w:tcW w:w="1656" w:type="dxa"/>
            <w:vAlign w:val="center"/>
          </w:tcPr>
          <w:p>
            <w:pPr>
              <w:snapToGrid w:val="0"/>
              <w:spacing w:line="400" w:lineRule="exact"/>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snapToGrid w:val="0"/>
              <w:spacing w:line="400" w:lineRule="exact"/>
              <w:jc w:val="center"/>
              <w:rPr>
                <w:rFonts w:ascii="宋体" w:hAnsi="宋体" w:cs="宋体"/>
                <w:color w:val="auto"/>
                <w:spacing w:val="-6"/>
                <w:sz w:val="24"/>
                <w:highlight w:val="none"/>
              </w:rPr>
            </w:pPr>
          </w:p>
        </w:tc>
        <w:tc>
          <w:tcPr>
            <w:tcW w:w="1656" w:type="dxa"/>
            <w:vAlign w:val="center"/>
          </w:tcPr>
          <w:p>
            <w:pPr>
              <w:snapToGrid w:val="0"/>
              <w:spacing w:line="400" w:lineRule="exact"/>
              <w:jc w:val="center"/>
              <w:rPr>
                <w:rFonts w:ascii="宋体" w:hAnsi="宋体" w:cs="宋体"/>
                <w:color w:val="auto"/>
                <w:spacing w:val="-6"/>
                <w:sz w:val="24"/>
                <w:highlight w:val="none"/>
              </w:rPr>
            </w:pPr>
          </w:p>
        </w:tc>
        <w:tc>
          <w:tcPr>
            <w:tcW w:w="3219" w:type="dxa"/>
            <w:vAlign w:val="center"/>
          </w:tcPr>
          <w:p>
            <w:pPr>
              <w:snapToGrid w:val="0"/>
              <w:spacing w:line="400" w:lineRule="exact"/>
              <w:jc w:val="center"/>
              <w:rPr>
                <w:rFonts w:ascii="宋体" w:hAnsi="宋体" w:cs="宋体"/>
                <w:color w:val="auto"/>
                <w:spacing w:val="-6"/>
                <w:sz w:val="24"/>
                <w:highlight w:val="none"/>
              </w:rPr>
            </w:pPr>
          </w:p>
        </w:tc>
        <w:tc>
          <w:tcPr>
            <w:tcW w:w="1822" w:type="dxa"/>
            <w:vAlign w:val="center"/>
          </w:tcPr>
          <w:p>
            <w:pPr>
              <w:snapToGrid w:val="0"/>
              <w:spacing w:line="400" w:lineRule="exact"/>
              <w:jc w:val="center"/>
              <w:rPr>
                <w:rFonts w:ascii="宋体" w:hAnsi="宋体" w:cs="宋体"/>
                <w:color w:val="auto"/>
                <w:spacing w:val="-6"/>
                <w:sz w:val="24"/>
                <w:highlight w:val="none"/>
              </w:rPr>
            </w:pPr>
          </w:p>
        </w:tc>
        <w:tc>
          <w:tcPr>
            <w:tcW w:w="1676" w:type="dxa"/>
            <w:vAlign w:val="center"/>
          </w:tcPr>
          <w:p>
            <w:pPr>
              <w:snapToGrid w:val="0"/>
              <w:spacing w:line="400" w:lineRule="exact"/>
              <w:jc w:val="center"/>
              <w:rPr>
                <w:rFonts w:ascii="宋体" w:hAnsi="宋体" w:cs="宋体"/>
                <w:color w:val="auto"/>
                <w:spacing w:val="-6"/>
                <w:sz w:val="24"/>
                <w:highlight w:val="none"/>
              </w:rPr>
            </w:pPr>
          </w:p>
        </w:tc>
      </w:tr>
    </w:tbl>
    <w:p>
      <w:pPr>
        <w:adjustRightInd w:val="0"/>
        <w:snapToGrid w:val="0"/>
        <w:spacing w:line="400" w:lineRule="exact"/>
        <w:jc w:val="left"/>
        <w:rPr>
          <w:rFonts w:ascii="宋体" w:hAnsi="宋体" w:cs="宋体"/>
          <w:b/>
          <w:bCs/>
          <w:color w:val="auto"/>
          <w:spacing w:val="-6"/>
          <w:sz w:val="24"/>
          <w:szCs w:val="24"/>
          <w:highlight w:val="none"/>
        </w:rPr>
      </w:pPr>
      <w:r>
        <w:rPr>
          <w:rFonts w:hint="eastAsia" w:ascii="宋体" w:hAnsi="宋体" w:cs="宋体"/>
          <w:b/>
          <w:bCs/>
          <w:color w:val="auto"/>
          <w:spacing w:val="-6"/>
          <w:sz w:val="24"/>
          <w:highlight w:val="none"/>
        </w:rPr>
        <w:t>注意：</w:t>
      </w:r>
      <w:r>
        <w:rPr>
          <w:rFonts w:hint="eastAsia" w:ascii="宋体" w:hAnsi="宋体" w:cs="宋体"/>
          <w:b/>
          <w:bCs/>
          <w:color w:val="auto"/>
          <w:spacing w:val="-6"/>
          <w:sz w:val="24"/>
          <w:szCs w:val="24"/>
          <w:highlight w:val="none"/>
        </w:rPr>
        <w:t>1.此表对应本招标文件“第五部分 采购需求”中的商务要求和技术要求，逐项按照招标文件要求填写响应规格；未按采购需求要求提供相应证明材料的视为负偏离。</w:t>
      </w:r>
    </w:p>
    <w:p>
      <w:pPr>
        <w:adjustRightInd w:val="0"/>
        <w:snapToGrid w:val="0"/>
        <w:spacing w:line="400" w:lineRule="exact"/>
        <w:ind w:firstLine="458" w:firstLineChars="20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2.偏离说明是指对招标文件要求存在不同之处的解释说明。偏离系指：正偏离（高于采购需求）、负偏离（低于采购需求）、无偏离（满足采购需求）；</w:t>
      </w:r>
    </w:p>
    <w:p>
      <w:pPr>
        <w:adjustRightInd w:val="0"/>
        <w:snapToGrid w:val="0"/>
        <w:spacing w:line="400" w:lineRule="exact"/>
        <w:ind w:left="460"/>
        <w:jc w:val="left"/>
        <w:rPr>
          <w:rFonts w:ascii="宋体" w:hAnsi="宋体" w:cs="宋体"/>
          <w:b/>
          <w:bCs/>
          <w:color w:val="auto"/>
          <w:spacing w:val="-6"/>
          <w:sz w:val="24"/>
          <w:szCs w:val="24"/>
          <w:highlight w:val="none"/>
        </w:rPr>
      </w:pPr>
      <w:r>
        <w:rPr>
          <w:rFonts w:hint="eastAsia" w:ascii="宋体" w:hAnsi="宋体" w:cs="宋体"/>
          <w:b/>
          <w:bCs/>
          <w:color w:val="auto"/>
          <w:spacing w:val="-6"/>
          <w:sz w:val="24"/>
          <w:szCs w:val="24"/>
          <w:highlight w:val="none"/>
        </w:rPr>
        <w:t>3.</w:t>
      </w:r>
      <w:r>
        <w:rPr>
          <w:rFonts w:hint="eastAsia" w:ascii="宋体" w:hAnsi="宋体" w:cs="宋体"/>
          <w:b/>
          <w:bCs/>
          <w:color w:val="auto"/>
          <w:spacing w:val="-6"/>
          <w:sz w:val="24"/>
          <w:highlight w:val="none"/>
        </w:rPr>
        <w:t>如不填写或留空，则视为完全响应招标文件的要求</w:t>
      </w:r>
      <w:r>
        <w:rPr>
          <w:rFonts w:hint="eastAsia" w:ascii="宋体" w:hAnsi="宋体" w:cs="宋体"/>
          <w:b/>
          <w:color w:val="auto"/>
          <w:spacing w:val="-6"/>
          <w:sz w:val="24"/>
          <w:highlight w:val="none"/>
        </w:rPr>
        <w:t>，自行承担投标响应风险</w:t>
      </w:r>
      <w:r>
        <w:rPr>
          <w:rFonts w:hint="eastAsia" w:ascii="宋体" w:hAnsi="宋体" w:cs="宋体"/>
          <w:b/>
          <w:bCs/>
          <w:color w:val="auto"/>
          <w:spacing w:val="-6"/>
          <w:sz w:val="24"/>
          <w:szCs w:val="24"/>
          <w:highlight w:val="none"/>
        </w:rPr>
        <w:t>。</w:t>
      </w:r>
    </w:p>
    <w:p>
      <w:pPr>
        <w:adjustRightInd w:val="0"/>
        <w:snapToGrid w:val="0"/>
        <w:spacing w:line="400" w:lineRule="exact"/>
        <w:ind w:firstLine="458" w:firstLineChars="200"/>
        <w:jc w:val="left"/>
        <w:rPr>
          <w:rFonts w:eastAsia="黑体"/>
          <w:color w:val="auto"/>
          <w:highlight w:val="none"/>
        </w:rPr>
      </w:pPr>
      <w:r>
        <w:rPr>
          <w:rFonts w:hint="eastAsia" w:ascii="宋体" w:hAnsi="宋体" w:cs="宋体"/>
          <w:b/>
          <w:bCs/>
          <w:color w:val="auto"/>
          <w:spacing w:val="-6"/>
          <w:sz w:val="24"/>
          <w:szCs w:val="24"/>
          <w:highlight w:val="none"/>
        </w:rPr>
        <w:t>4.采购需求中有要求提供证明材料的，请供应商在此表中准备相关证明材料的所在页码，因页码未标记或标记不清导致的后果由投标人自行承担。</w:t>
      </w:r>
    </w:p>
    <w:p>
      <w:pPr>
        <w:widowControl/>
        <w:spacing w:line="400" w:lineRule="exact"/>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line="400" w:lineRule="exact"/>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附件13</w:t>
      </w:r>
    </w:p>
    <w:p>
      <w:pPr>
        <w:spacing w:line="400" w:lineRule="exact"/>
        <w:rPr>
          <w:rFonts w:ascii="宋体" w:hAnsi="宋体" w:cs="宋体"/>
          <w:b/>
          <w:bCs/>
          <w:color w:val="auto"/>
          <w:sz w:val="24"/>
          <w:szCs w:val="24"/>
          <w:highlight w:val="none"/>
        </w:rPr>
      </w:pPr>
    </w:p>
    <w:p>
      <w:pPr>
        <w:pStyle w:val="15"/>
        <w:snapToGrid w:val="0"/>
        <w:spacing w:line="400" w:lineRule="exact"/>
        <w:jc w:val="center"/>
        <w:rPr>
          <w:rFonts w:hint="eastAsia" w:hAnsi="宋体" w:cs="宋体"/>
          <w:b/>
          <w:color w:val="auto"/>
          <w:sz w:val="30"/>
          <w:szCs w:val="30"/>
          <w:highlight w:val="none"/>
        </w:rPr>
      </w:pPr>
      <w:r>
        <w:rPr>
          <w:rFonts w:hint="eastAsia" w:hAnsi="宋体" w:cs="宋体"/>
          <w:b/>
          <w:color w:val="auto"/>
          <w:sz w:val="30"/>
          <w:szCs w:val="30"/>
          <w:highlight w:val="none"/>
        </w:rPr>
        <w:t>承诺函</w:t>
      </w:r>
    </w:p>
    <w:p>
      <w:pPr>
        <w:pStyle w:val="15"/>
        <w:snapToGrid w:val="0"/>
        <w:spacing w:line="400" w:lineRule="exact"/>
        <w:jc w:val="center"/>
        <w:rPr>
          <w:rFonts w:hint="eastAsia" w:hAnsi="宋体" w:cs="宋体"/>
          <w:b/>
          <w:color w:val="auto"/>
          <w:szCs w:val="24"/>
          <w:highlight w:val="none"/>
        </w:rPr>
      </w:pPr>
    </w:p>
    <w:p>
      <w:pPr>
        <w:keepNext w:val="0"/>
        <w:keepLines w:val="0"/>
        <w:pageBreakBefore w:val="0"/>
        <w:widowControl w:val="0"/>
        <w:kinsoku/>
        <w:wordWrap/>
        <w:overflowPunct/>
        <w:topLinePunct w:val="0"/>
        <w:autoSpaceDE/>
        <w:autoSpaceDN/>
        <w:bidi w:val="0"/>
        <w:adjustRightInd/>
        <w:spacing w:line="48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温州理工学院</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我单位就</w:t>
      </w:r>
      <w:r>
        <w:rPr>
          <w:rFonts w:hint="eastAsia"/>
          <w:color w:val="auto"/>
          <w:sz w:val="24"/>
          <w:szCs w:val="24"/>
          <w:highlight w:val="none"/>
          <w:u w:val="single"/>
        </w:rPr>
        <w:t xml:space="preserve">                 </w:t>
      </w:r>
      <w:r>
        <w:rPr>
          <w:rFonts w:hint="eastAsia" w:ascii="宋体" w:hAnsi="宋体" w:cs="宋体"/>
          <w:color w:val="auto"/>
          <w:sz w:val="24"/>
          <w:szCs w:val="24"/>
          <w:highlight w:val="none"/>
          <w:lang w:val="en-US" w:eastAsia="zh-CN"/>
        </w:rPr>
        <w:t>（项目名称）</w:t>
      </w:r>
      <w:r>
        <w:rPr>
          <w:rFonts w:hint="eastAsia" w:ascii="宋体" w:hAnsi="宋体" w:cs="宋体"/>
          <w:color w:val="auto"/>
          <w:sz w:val="24"/>
          <w:szCs w:val="24"/>
          <w:highlight w:val="none"/>
        </w:rPr>
        <w:t>（项目编号：</w:t>
      </w:r>
      <w:r>
        <w:rPr>
          <w:rFonts w:hint="eastAsia"/>
          <w:color w:val="auto"/>
          <w:sz w:val="24"/>
          <w:szCs w:val="24"/>
          <w:highlight w:val="none"/>
          <w:u w:val="single"/>
        </w:rPr>
        <w:t xml:space="preserve">                 </w:t>
      </w:r>
      <w:r>
        <w:rPr>
          <w:rFonts w:hint="eastAsia" w:ascii="宋体" w:hAnsi="宋体" w:cs="宋体"/>
          <w:color w:val="auto"/>
          <w:sz w:val="24"/>
          <w:szCs w:val="24"/>
          <w:highlight w:val="none"/>
        </w:rPr>
        <w:t>）项目承诺如下：</w:t>
      </w:r>
    </w:p>
    <w:p>
      <w:pPr>
        <w:keepNext w:val="0"/>
        <w:keepLines w:val="0"/>
        <w:pageBreakBefore w:val="0"/>
        <w:widowControl w:val="0"/>
        <w:kinsoku/>
        <w:wordWrap/>
        <w:overflowPunct/>
        <w:topLinePunct w:val="0"/>
        <w:autoSpaceDE/>
        <w:autoSpaceDN/>
        <w:bidi w:val="0"/>
        <w:adjustRightInd/>
        <w:spacing w:line="480" w:lineRule="auto"/>
        <w:ind w:firstLine="480" w:firstLineChars="200"/>
        <w:jc w:val="left"/>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质保期前1年，项目中标人提供驻场服务人员不少于1人</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驻场服务人员</w:t>
      </w:r>
      <w:r>
        <w:rPr>
          <w:rFonts w:hint="eastAsia" w:ascii="宋体" w:hAnsi="宋体" w:cs="宋体"/>
          <w:color w:val="auto"/>
          <w:sz w:val="24"/>
          <w:szCs w:val="24"/>
          <w:highlight w:val="none"/>
          <w:u w:val="single"/>
          <w:lang w:val="en-US" w:eastAsia="zh-CN"/>
        </w:rPr>
        <w:t xml:space="preserve">姓名：      身份证号：        </w:t>
      </w:r>
      <w:r>
        <w:rPr>
          <w:rFonts w:hint="eastAsia" w:ascii="宋体" w:hAnsi="宋体" w:cs="宋体"/>
          <w:color w:val="auto"/>
          <w:sz w:val="24"/>
          <w:szCs w:val="24"/>
          <w:highlight w:val="none"/>
          <w:u w:val="single"/>
        </w:rPr>
        <w:t>，在驻场期间如驻场服务人员需变更应事先得到采购人同意。</w:t>
      </w:r>
    </w:p>
    <w:p>
      <w:pPr>
        <w:keepNext w:val="0"/>
        <w:keepLines w:val="0"/>
        <w:pageBreakBefore w:val="0"/>
        <w:widowControl w:val="0"/>
        <w:kinsoku/>
        <w:wordWrap/>
        <w:overflowPunct/>
        <w:topLinePunct w:val="0"/>
        <w:autoSpaceDE/>
        <w:autoSpaceDN/>
        <w:bidi w:val="0"/>
        <w:adjustRightInd/>
        <w:snapToGrid w:val="0"/>
        <w:spacing w:line="480" w:lineRule="auto"/>
        <w:ind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特此承诺！</w:t>
      </w:r>
    </w:p>
    <w:p>
      <w:pPr>
        <w:pStyle w:val="3"/>
        <w:spacing w:before="0" w:after="0"/>
        <w:jc w:val="left"/>
        <w:rPr>
          <w:rFonts w:hint="eastAsia" w:ascii="宋体" w:hAnsi="宋体" w:cs="宋体"/>
          <w:b w:val="0"/>
          <w:bCs w:val="0"/>
          <w:color w:val="auto"/>
          <w:kern w:val="2"/>
          <w:sz w:val="24"/>
          <w:szCs w:val="24"/>
          <w:highlight w:val="none"/>
        </w:rPr>
      </w:pPr>
    </w:p>
    <w:p>
      <w:pPr>
        <w:pStyle w:val="3"/>
        <w:spacing w:before="0" w:after="0"/>
        <w:jc w:val="left"/>
        <w:rPr>
          <w:rFonts w:hint="eastAsia" w:ascii="宋体" w:hAnsi="宋体" w:cs="宋体"/>
          <w:b w:val="0"/>
          <w:bCs w:val="0"/>
          <w:color w:val="auto"/>
          <w:kern w:val="2"/>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pStyle w:val="15"/>
        <w:snapToGrid w:val="0"/>
        <w:spacing w:line="400" w:lineRule="exact"/>
        <w:jc w:val="center"/>
        <w:rPr>
          <w:rFonts w:hint="eastAsia" w:hAnsi="宋体" w:cs="宋体"/>
          <w:b/>
          <w:color w:val="auto"/>
          <w:szCs w:val="24"/>
          <w:highlight w:val="none"/>
        </w:rPr>
      </w:pPr>
    </w:p>
    <w:p>
      <w:pPr>
        <w:pStyle w:val="15"/>
        <w:snapToGrid w:val="0"/>
        <w:spacing w:line="400" w:lineRule="exact"/>
        <w:jc w:val="center"/>
        <w:rPr>
          <w:rFonts w:hint="eastAsia" w:hAnsi="宋体" w:cs="宋体"/>
          <w:b/>
          <w:color w:val="auto"/>
          <w:szCs w:val="24"/>
          <w:highlight w:val="none"/>
        </w:rPr>
      </w:pPr>
    </w:p>
    <w:p>
      <w:pPr>
        <w:pStyle w:val="15"/>
        <w:snapToGrid w:val="0"/>
        <w:spacing w:line="400" w:lineRule="exact"/>
        <w:jc w:val="center"/>
        <w:rPr>
          <w:rFonts w:hint="eastAsia" w:hAnsi="宋体" w:cs="宋体"/>
          <w:b/>
          <w:color w:val="auto"/>
          <w:szCs w:val="24"/>
          <w:highlight w:val="none"/>
        </w:rPr>
      </w:pPr>
    </w:p>
    <w:p>
      <w:pPr>
        <w:spacing w:line="360" w:lineRule="auto"/>
        <w:jc w:val="center"/>
        <w:rPr>
          <w:rFonts w:hint="eastAsia" w:ascii="宋体" w:hAnsi="宋体" w:cs="宋体"/>
          <w:color w:val="auto"/>
          <w:sz w:val="22"/>
          <w:highlight w:val="none"/>
          <w:u w:val="single"/>
        </w:rPr>
      </w:pPr>
    </w:p>
    <w:p>
      <w:pPr>
        <w:spacing w:line="360" w:lineRule="auto"/>
        <w:jc w:val="center"/>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4"/>
        <w:rPr>
          <w:rFonts w:hint="eastAsia" w:ascii="宋体" w:hAnsi="宋体" w:cs="宋体"/>
          <w:color w:val="auto"/>
          <w:sz w:val="22"/>
          <w:highlight w:val="none"/>
          <w:u w:val="single"/>
        </w:rPr>
      </w:pPr>
    </w:p>
    <w:p>
      <w:pPr>
        <w:pStyle w:val="15"/>
        <w:spacing w:line="360" w:lineRule="auto"/>
        <w:rPr>
          <w:rFonts w:hAnsi="宋体" w:cs="宋体"/>
          <w:b/>
          <w:color w:val="auto"/>
          <w:szCs w:val="24"/>
          <w:highlight w:val="none"/>
        </w:rPr>
      </w:pPr>
      <w:r>
        <w:rPr>
          <w:rFonts w:hint="eastAsia" w:hAnsi="宋体" w:cs="宋体"/>
          <w:b/>
          <w:color w:val="auto"/>
          <w:szCs w:val="24"/>
          <w:highlight w:val="none"/>
        </w:rPr>
        <w:t>附件14</w:t>
      </w:r>
    </w:p>
    <w:p>
      <w:pPr>
        <w:spacing w:line="360" w:lineRule="auto"/>
        <w:jc w:val="center"/>
        <w:rPr>
          <w:rFonts w:hint="eastAsia" w:ascii="宋体" w:hAnsi="宋体" w:cs="宋体"/>
          <w:color w:val="auto"/>
          <w:sz w:val="22"/>
          <w:highlight w:val="none"/>
          <w:u w:val="single"/>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货物配置清单</w:t>
      </w:r>
    </w:p>
    <w:p>
      <w:pPr>
        <w:pStyle w:val="14"/>
        <w:spacing w:after="0" w:line="400" w:lineRule="exact"/>
        <w:ind w:left="482" w:leftChars="0" w:right="0" w:rightChars="0" w:hanging="482"/>
        <w:rPr>
          <w:rFonts w:ascii="宋体" w:hAnsi="宋体" w:cs="宋体"/>
          <w:color w:val="auto"/>
          <w:sz w:val="24"/>
          <w:szCs w:val="24"/>
          <w:highlight w:val="none"/>
          <w:u w:val="single"/>
        </w:rPr>
      </w:pPr>
      <w:r>
        <w:rPr>
          <w:rFonts w:hint="eastAsia" w:ascii="宋体" w:hAnsi="宋体" w:cs="宋体"/>
          <w:b/>
          <w:color w:val="auto"/>
          <w:sz w:val="24"/>
          <w:szCs w:val="24"/>
          <w:highlight w:val="none"/>
        </w:rPr>
        <w:t xml:space="preserve">项目名称：                                      项目编号：                </w:t>
      </w:r>
    </w:p>
    <w:tbl>
      <w:tblPr>
        <w:tblStyle w:val="28"/>
        <w:tblW w:w="9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538"/>
        <w:gridCol w:w="1462"/>
        <w:gridCol w:w="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制造商</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单位及数量</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性能及指标</w:t>
            </w: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p>
            <w:pPr>
              <w:snapToGrid w:val="0"/>
              <w:spacing w:line="400" w:lineRule="exact"/>
              <w:jc w:val="center"/>
              <w:rPr>
                <w:rFonts w:ascii="宋体" w:hAnsi="宋体" w:cs="宋体"/>
                <w:color w:val="auto"/>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462"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03" w:type="dxa"/>
            <w:tcBorders>
              <w:top w:val="single" w:color="auto" w:sz="4" w:space="0"/>
              <w:left w:val="single" w:color="auto" w:sz="4" w:space="0"/>
              <w:bottom w:val="nil"/>
            </w:tcBorders>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color w:val="auto"/>
                <w:sz w:val="24"/>
                <w:szCs w:val="24"/>
                <w:highlight w:val="none"/>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color w:val="auto"/>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szCs w:val="24"/>
                <w:highlight w:val="none"/>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auto"/>
                <w:sz w:val="24"/>
                <w:szCs w:val="24"/>
                <w:highlight w:val="none"/>
              </w:rPr>
            </w:pPr>
          </w:p>
        </w:tc>
      </w:tr>
    </w:tbl>
    <w:p>
      <w:pPr>
        <w:snapToGrid w:val="0"/>
        <w:spacing w:line="400" w:lineRule="exact"/>
        <w:rPr>
          <w:rFonts w:ascii="宋体" w:hAnsi="宋体" w:cs="宋体"/>
          <w:color w:val="auto"/>
          <w:sz w:val="24"/>
          <w:szCs w:val="24"/>
          <w:highlight w:val="none"/>
        </w:rPr>
      </w:pPr>
    </w:p>
    <w:p>
      <w:pPr>
        <w:widowControl/>
        <w:spacing w:line="400" w:lineRule="exact"/>
        <w:ind w:firstLine="420"/>
        <w:rPr>
          <w:rFonts w:ascii="宋体" w:hAnsi="宋体" w:cs="宋体"/>
          <w:color w:val="auto"/>
          <w:kern w:val="0"/>
          <w:sz w:val="24"/>
          <w:szCs w:val="24"/>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400" w:lineRule="atLeast"/>
        <w:rPr>
          <w:rFonts w:hAnsi="宋体" w:cs="宋体"/>
          <w:b/>
          <w:color w:val="auto"/>
          <w:szCs w:val="24"/>
          <w:highlight w:val="none"/>
        </w:rPr>
      </w:pPr>
    </w:p>
    <w:p>
      <w:pPr>
        <w:pStyle w:val="15"/>
        <w:spacing w:line="360" w:lineRule="auto"/>
        <w:rPr>
          <w:rFonts w:hint="eastAsia" w:hAnsi="宋体" w:eastAsia="宋体" w:cs="宋体"/>
          <w:b/>
          <w:color w:val="auto"/>
          <w:szCs w:val="24"/>
          <w:highlight w:val="none"/>
          <w:lang w:eastAsia="zh-CN"/>
        </w:rPr>
      </w:pPr>
      <w:r>
        <w:rPr>
          <w:rFonts w:hint="eastAsia" w:hAnsi="宋体" w:cs="宋体"/>
          <w:b/>
          <w:color w:val="auto"/>
          <w:szCs w:val="24"/>
          <w:highlight w:val="none"/>
        </w:rPr>
        <w:t>附件1</w:t>
      </w:r>
      <w:r>
        <w:rPr>
          <w:rFonts w:hint="eastAsia" w:hAnsi="宋体" w:cs="宋体"/>
          <w:b/>
          <w:color w:val="auto"/>
          <w:szCs w:val="24"/>
          <w:highlight w:val="none"/>
          <w:lang w:val="en-US" w:eastAsia="zh-CN"/>
        </w:rPr>
        <w:t>5</w:t>
      </w:r>
    </w:p>
    <w:p>
      <w:pPr>
        <w:adjustRightInd w:val="0"/>
        <w:snapToGrid w:val="0"/>
        <w:spacing w:line="360" w:lineRule="auto"/>
        <w:jc w:val="center"/>
        <w:rPr>
          <w:rFonts w:ascii="宋体" w:hAnsi="宋体" w:cs="宋体"/>
          <w:b/>
          <w:snapToGrid w:val="0"/>
          <w:color w:val="auto"/>
          <w:sz w:val="24"/>
          <w:szCs w:val="24"/>
          <w:highlight w:val="none"/>
        </w:rPr>
      </w:pPr>
      <w:r>
        <w:rPr>
          <w:rFonts w:hint="eastAsia" w:ascii="宋体" w:hAnsi="宋体" w:cs="宋体"/>
          <w:b/>
          <w:color w:val="auto"/>
          <w:sz w:val="24"/>
          <w:szCs w:val="24"/>
          <w:highlight w:val="none"/>
        </w:rPr>
        <w:t>常用材料、</w:t>
      </w:r>
      <w:r>
        <w:rPr>
          <w:rFonts w:hint="eastAsia" w:ascii="宋体" w:hAnsi="宋体" w:cs="宋体"/>
          <w:b/>
          <w:snapToGrid w:val="0"/>
          <w:color w:val="auto"/>
          <w:sz w:val="24"/>
          <w:szCs w:val="24"/>
          <w:highlight w:val="none"/>
        </w:rPr>
        <w:t>零配件报价清单</w:t>
      </w:r>
    </w:p>
    <w:p>
      <w:pPr>
        <w:pStyle w:val="15"/>
        <w:snapToGrid w:val="0"/>
        <w:spacing w:line="288" w:lineRule="auto"/>
        <w:rPr>
          <w:rFonts w:hAnsi="宋体" w:cs="宋体"/>
          <w:color w:val="auto"/>
          <w:kern w:val="0"/>
          <w:sz w:val="22"/>
          <w:highlight w:val="none"/>
        </w:rPr>
      </w:pPr>
      <w:r>
        <w:rPr>
          <w:rFonts w:hint="eastAsia" w:hAnsi="宋体" w:cs="宋体"/>
          <w:color w:val="auto"/>
          <w:kern w:val="0"/>
          <w:sz w:val="22"/>
          <w:highlight w:val="none"/>
        </w:rPr>
        <w:t xml:space="preserve">项目名称：                           项目编号：                  </w:t>
      </w:r>
      <w:r>
        <w:rPr>
          <w:rFonts w:hint="eastAsia" w:hAnsi="宋体" w:cs="宋体"/>
          <w:color w:val="auto"/>
          <w:spacing w:val="-6"/>
          <w:sz w:val="22"/>
          <w:highlight w:val="none"/>
        </w:rPr>
        <w:t>金额单位：人民币（元）</w:t>
      </w:r>
    </w:p>
    <w:tbl>
      <w:tblPr>
        <w:tblStyle w:val="28"/>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序号</w:t>
            </w:r>
          </w:p>
        </w:tc>
        <w:tc>
          <w:tcPr>
            <w:tcW w:w="712" w:type="dxa"/>
            <w:vAlign w:val="center"/>
          </w:tcPr>
          <w:p>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名称</w:t>
            </w:r>
          </w:p>
        </w:tc>
        <w:tc>
          <w:tcPr>
            <w:tcW w:w="992" w:type="dxa"/>
            <w:vAlign w:val="center"/>
          </w:tcPr>
          <w:p>
            <w:pPr>
              <w:pStyle w:val="65"/>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制造商</w:t>
            </w:r>
          </w:p>
        </w:tc>
        <w:tc>
          <w:tcPr>
            <w:tcW w:w="808" w:type="dxa"/>
            <w:vAlign w:val="center"/>
          </w:tcPr>
          <w:p>
            <w:pPr>
              <w:pStyle w:val="65"/>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产地</w:t>
            </w:r>
          </w:p>
        </w:tc>
        <w:tc>
          <w:tcPr>
            <w:tcW w:w="656" w:type="dxa"/>
            <w:vAlign w:val="center"/>
          </w:tcPr>
          <w:p>
            <w:pPr>
              <w:pStyle w:val="65"/>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品牌</w:t>
            </w:r>
          </w:p>
        </w:tc>
        <w:tc>
          <w:tcPr>
            <w:tcW w:w="1238" w:type="dxa"/>
            <w:vAlign w:val="center"/>
          </w:tcPr>
          <w:p>
            <w:pPr>
              <w:pStyle w:val="65"/>
              <w:snapToGrid w:val="0"/>
              <w:spacing w:line="360" w:lineRule="auto"/>
              <w:rPr>
                <w:rFonts w:cs="宋体"/>
                <w:snapToGrid w:val="0"/>
                <w:color w:val="auto"/>
                <w:kern w:val="0"/>
                <w:sz w:val="22"/>
                <w:highlight w:val="none"/>
              </w:rPr>
            </w:pPr>
            <w:r>
              <w:rPr>
                <w:rFonts w:hint="eastAsia" w:cs="宋体"/>
                <w:snapToGrid w:val="0"/>
                <w:color w:val="auto"/>
                <w:kern w:val="0"/>
                <w:sz w:val="22"/>
                <w:highlight w:val="none"/>
              </w:rPr>
              <w:t>型号规格</w:t>
            </w: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单位</w:t>
            </w: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数量</w:t>
            </w:r>
          </w:p>
        </w:tc>
        <w:tc>
          <w:tcPr>
            <w:tcW w:w="1237" w:type="dxa"/>
            <w:vAlign w:val="center"/>
          </w:tcPr>
          <w:p>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单价（元）</w:t>
            </w:r>
          </w:p>
        </w:tc>
        <w:tc>
          <w:tcPr>
            <w:tcW w:w="1350" w:type="dxa"/>
            <w:vAlign w:val="center"/>
          </w:tcPr>
          <w:p>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总价（元）</w:t>
            </w:r>
          </w:p>
        </w:tc>
        <w:tc>
          <w:tcPr>
            <w:tcW w:w="656" w:type="dxa"/>
            <w:vAlign w:val="center"/>
          </w:tcPr>
          <w:p>
            <w:pPr>
              <w:adjustRightInd w:val="0"/>
              <w:snapToGrid w:val="0"/>
              <w:spacing w:line="360" w:lineRule="auto"/>
              <w:jc w:val="center"/>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pStyle w:val="20"/>
              <w:pBdr>
                <w:bottom w:val="none" w:color="auto" w:sz="0" w:space="0"/>
              </w:pBdr>
              <w:tabs>
                <w:tab w:val="left" w:pos="420"/>
              </w:tabs>
              <w:spacing w:line="360" w:lineRule="auto"/>
              <w:rPr>
                <w:rFonts w:ascii="宋体" w:hAnsi="宋体" w:cs="宋体"/>
                <w:snapToGrid w:val="0"/>
                <w:color w:val="auto"/>
                <w:kern w:val="0"/>
                <w:sz w:val="22"/>
                <w:highlight w:val="none"/>
              </w:rPr>
            </w:pPr>
          </w:p>
        </w:tc>
        <w:tc>
          <w:tcPr>
            <w:tcW w:w="1237" w:type="dxa"/>
            <w:vAlign w:val="center"/>
          </w:tcPr>
          <w:p>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pStyle w:val="16"/>
              <w:adjustRightInd w:val="0"/>
              <w:snapToGrid w:val="0"/>
              <w:spacing w:line="360" w:lineRule="auto"/>
              <w:ind w:left="5250" w:leftChars="0"/>
              <w:rPr>
                <w:rFonts w:ascii="宋体" w:hAnsi="宋体" w:eastAsia="宋体" w:cs="宋体"/>
                <w:snapToGrid w:val="0"/>
                <w:color w:val="auto"/>
                <w:kern w:val="0"/>
                <w:sz w:val="22"/>
                <w:szCs w:val="22"/>
                <w:highlight w:val="none"/>
              </w:rPr>
            </w:pPr>
          </w:p>
        </w:tc>
        <w:tc>
          <w:tcPr>
            <w:tcW w:w="712" w:type="dxa"/>
            <w:vAlign w:val="center"/>
          </w:tcPr>
          <w:p>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pPr>
              <w:adjustRightInd w:val="0"/>
              <w:snapToGrid w:val="0"/>
              <w:spacing w:line="360" w:lineRule="auto"/>
              <w:rPr>
                <w:rFonts w:ascii="宋体" w:hAnsi="宋体" w:cs="宋体"/>
                <w:snapToGrid w:val="0"/>
                <w:color w:val="auto"/>
                <w:kern w:val="0"/>
                <w:sz w:val="22"/>
                <w:highlight w:val="none"/>
              </w:rPr>
            </w:pPr>
          </w:p>
        </w:tc>
        <w:tc>
          <w:tcPr>
            <w:tcW w:w="992" w:type="dxa"/>
            <w:vAlign w:val="center"/>
          </w:tcPr>
          <w:p>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pPr>
              <w:adjustRightInd w:val="0"/>
              <w:snapToGrid w:val="0"/>
              <w:spacing w:line="360" w:lineRule="auto"/>
              <w:rPr>
                <w:rFonts w:ascii="宋体" w:hAnsi="宋体" w:cs="宋体"/>
                <w:snapToGrid w:val="0"/>
                <w:color w:val="auto"/>
                <w:kern w:val="0"/>
                <w:sz w:val="22"/>
                <w:highlight w:val="none"/>
              </w:rPr>
            </w:pPr>
          </w:p>
        </w:tc>
        <w:tc>
          <w:tcPr>
            <w:tcW w:w="712" w:type="dxa"/>
            <w:vAlign w:val="center"/>
          </w:tcPr>
          <w:p>
            <w:pPr>
              <w:adjustRightInd w:val="0"/>
              <w:snapToGrid w:val="0"/>
              <w:spacing w:line="360" w:lineRule="auto"/>
              <w:jc w:val="center"/>
              <w:rPr>
                <w:rFonts w:ascii="宋体" w:hAnsi="宋体" w:cs="宋体"/>
                <w:b/>
                <w:bCs/>
                <w:snapToGrid w:val="0"/>
                <w:color w:val="auto"/>
                <w:kern w:val="0"/>
                <w:sz w:val="22"/>
                <w:highlight w:val="none"/>
              </w:rPr>
            </w:pPr>
          </w:p>
        </w:tc>
        <w:tc>
          <w:tcPr>
            <w:tcW w:w="992" w:type="dxa"/>
            <w:vAlign w:val="center"/>
          </w:tcPr>
          <w:p>
            <w:pPr>
              <w:adjustRightInd w:val="0"/>
              <w:snapToGrid w:val="0"/>
              <w:spacing w:line="360" w:lineRule="auto"/>
              <w:rPr>
                <w:rFonts w:ascii="宋体" w:hAnsi="宋体" w:cs="宋体"/>
                <w:snapToGrid w:val="0"/>
                <w:color w:val="auto"/>
                <w:kern w:val="0"/>
                <w:sz w:val="22"/>
                <w:highlight w:val="none"/>
              </w:rPr>
            </w:pPr>
          </w:p>
        </w:tc>
        <w:tc>
          <w:tcPr>
            <w:tcW w:w="808"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c>
          <w:tcPr>
            <w:tcW w:w="1238"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675" w:type="dxa"/>
            <w:vAlign w:val="center"/>
          </w:tcPr>
          <w:p>
            <w:pPr>
              <w:adjustRightInd w:val="0"/>
              <w:snapToGrid w:val="0"/>
              <w:spacing w:line="360" w:lineRule="auto"/>
              <w:jc w:val="center"/>
              <w:rPr>
                <w:rFonts w:ascii="宋体" w:hAnsi="宋体" w:cs="宋体"/>
                <w:snapToGrid w:val="0"/>
                <w:color w:val="auto"/>
                <w:kern w:val="0"/>
                <w:sz w:val="22"/>
                <w:highlight w:val="none"/>
              </w:rPr>
            </w:pPr>
          </w:p>
        </w:tc>
        <w:tc>
          <w:tcPr>
            <w:tcW w:w="1237" w:type="dxa"/>
            <w:vAlign w:val="center"/>
          </w:tcPr>
          <w:p>
            <w:pPr>
              <w:adjustRightInd w:val="0"/>
              <w:snapToGrid w:val="0"/>
              <w:spacing w:line="360" w:lineRule="auto"/>
              <w:rPr>
                <w:rFonts w:ascii="宋体" w:hAnsi="宋体" w:cs="宋体"/>
                <w:snapToGrid w:val="0"/>
                <w:color w:val="auto"/>
                <w:kern w:val="0"/>
                <w:sz w:val="22"/>
                <w:highlight w:val="none"/>
              </w:rPr>
            </w:pPr>
          </w:p>
        </w:tc>
        <w:tc>
          <w:tcPr>
            <w:tcW w:w="1350" w:type="dxa"/>
            <w:vAlign w:val="center"/>
          </w:tcPr>
          <w:p>
            <w:pPr>
              <w:adjustRightInd w:val="0"/>
              <w:snapToGrid w:val="0"/>
              <w:spacing w:line="360" w:lineRule="auto"/>
              <w:rPr>
                <w:rFonts w:ascii="宋体" w:hAnsi="宋体" w:cs="宋体"/>
                <w:snapToGrid w:val="0"/>
                <w:color w:val="auto"/>
                <w:kern w:val="0"/>
                <w:sz w:val="22"/>
                <w:highlight w:val="none"/>
              </w:rPr>
            </w:pPr>
          </w:p>
        </w:tc>
        <w:tc>
          <w:tcPr>
            <w:tcW w:w="656" w:type="dxa"/>
            <w:vAlign w:val="center"/>
          </w:tcPr>
          <w:p>
            <w:pPr>
              <w:adjustRightInd w:val="0"/>
              <w:snapToGrid w:val="0"/>
              <w:spacing w:line="360" w:lineRule="auto"/>
              <w:rPr>
                <w:rFonts w:ascii="宋体" w:hAnsi="宋体" w:cs="宋体"/>
                <w:snapToGrid w:val="0"/>
                <w:color w:val="auto"/>
                <w:kern w:val="0"/>
                <w:sz w:val="22"/>
                <w:highlight w:val="none"/>
              </w:rPr>
            </w:pPr>
          </w:p>
        </w:tc>
      </w:tr>
    </w:tbl>
    <w:p>
      <w:pPr>
        <w:pStyle w:val="15"/>
        <w:snapToGrid w:val="0"/>
        <w:spacing w:line="360" w:lineRule="auto"/>
        <w:rPr>
          <w:rFonts w:hAnsi="宋体" w:cs="宋体"/>
          <w:color w:val="auto"/>
          <w:kern w:val="0"/>
          <w:sz w:val="22"/>
          <w:highlight w:val="none"/>
        </w:rPr>
      </w:pPr>
    </w:p>
    <w:p>
      <w:pPr>
        <w:adjustRightInd w:val="0"/>
        <w:snapToGrid w:val="0"/>
        <w:spacing w:line="360" w:lineRule="auto"/>
        <w:rPr>
          <w:rFonts w:ascii="宋体" w:hAnsi="宋体" w:cs="宋体"/>
          <w:snapToGrid w:val="0"/>
          <w:color w:val="auto"/>
          <w:kern w:val="0"/>
          <w:sz w:val="22"/>
          <w:highlight w:val="none"/>
        </w:rPr>
      </w:pPr>
      <w:r>
        <w:rPr>
          <w:rFonts w:hint="eastAsia" w:ascii="宋体" w:hAnsi="宋体" w:cs="宋体"/>
          <w:snapToGrid w:val="0"/>
          <w:color w:val="auto"/>
          <w:kern w:val="0"/>
          <w:sz w:val="22"/>
          <w:highlight w:val="none"/>
        </w:rPr>
        <w:t>注：投标人根据实际情况填写</w:t>
      </w:r>
    </w:p>
    <w:p>
      <w:pPr>
        <w:pStyle w:val="15"/>
        <w:snapToGrid w:val="0"/>
        <w:spacing w:line="360" w:lineRule="auto"/>
        <w:rPr>
          <w:rFonts w:hAnsi="宋体" w:cs="宋体"/>
          <w:color w:val="auto"/>
          <w:kern w:val="0"/>
          <w:sz w:val="22"/>
          <w:highlight w:val="none"/>
        </w:rPr>
      </w:pPr>
    </w:p>
    <w:p>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w:t>
      </w:r>
    </w:p>
    <w:p>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pPr>
        <w:spacing w:before="120" w:beforeLines="50" w:line="360" w:lineRule="auto"/>
        <w:rPr>
          <w:rFonts w:ascii="宋体" w:hAnsi="宋体" w:cs="宋体"/>
          <w:b/>
          <w:color w:val="auto"/>
          <w:sz w:val="24"/>
          <w:szCs w:val="24"/>
          <w:highlight w:val="none"/>
        </w:rPr>
      </w:pPr>
    </w:p>
    <w:p>
      <w:pPr>
        <w:pStyle w:val="14"/>
        <w:ind w:left="1470" w:right="1470"/>
        <w:rPr>
          <w:rFonts w:ascii="宋体" w:hAnsi="宋体" w:cs="宋体"/>
          <w:b/>
          <w:color w:val="auto"/>
          <w:sz w:val="24"/>
          <w:szCs w:val="24"/>
          <w:highlight w:val="none"/>
        </w:rPr>
      </w:pPr>
    </w:p>
    <w:p>
      <w:pPr>
        <w:pStyle w:val="14"/>
        <w:ind w:left="1470" w:right="1470"/>
        <w:rPr>
          <w:rFonts w:ascii="宋体" w:hAnsi="宋体" w:cs="宋体"/>
          <w:b/>
          <w:color w:val="auto"/>
          <w:sz w:val="24"/>
          <w:szCs w:val="24"/>
          <w:highlight w:val="none"/>
        </w:rPr>
      </w:pPr>
    </w:p>
    <w:p>
      <w:pPr>
        <w:spacing w:line="400" w:lineRule="exact"/>
        <w:rPr>
          <w:rFonts w:ascii="宋体" w:hAnsi="宋体" w:cs="宋体"/>
          <w:b/>
          <w:color w:val="auto"/>
          <w:sz w:val="24"/>
          <w:szCs w:val="24"/>
          <w:highlight w:val="none"/>
        </w:rPr>
      </w:pPr>
    </w:p>
    <w:p>
      <w:pPr>
        <w:pStyle w:val="2"/>
        <w:rPr>
          <w:rFonts w:ascii="宋体" w:hAnsi="宋体" w:eastAsia="宋体" w:cs="宋体"/>
          <w:color w:val="auto"/>
          <w:highlight w:val="none"/>
        </w:rPr>
      </w:pPr>
    </w:p>
    <w:p>
      <w:pPr>
        <w:rPr>
          <w:rFonts w:ascii="宋体" w:hAnsi="宋体" w:cs="宋体"/>
          <w:color w:val="auto"/>
          <w:highlight w:val="none"/>
        </w:rPr>
      </w:pPr>
    </w:p>
    <w:p>
      <w:pPr>
        <w:spacing w:line="400" w:lineRule="exact"/>
        <w:rPr>
          <w:rFonts w:hint="eastAsia" w:ascii="宋体" w:hAnsi="宋体" w:eastAsia="宋体" w:cs="宋体"/>
          <w:b/>
          <w:bCs/>
          <w:color w:val="auto"/>
          <w:sz w:val="24"/>
          <w:szCs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6</w:t>
      </w:r>
    </w:p>
    <w:p>
      <w:pPr>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w:t>
      </w:r>
      <w:r>
        <w:rPr>
          <w:rFonts w:hint="eastAsia" w:ascii="宋体" w:hAnsi="宋体" w:cs="宋体"/>
          <w:b/>
          <w:bCs/>
          <w:color w:val="auto"/>
          <w:sz w:val="24"/>
          <w:szCs w:val="24"/>
          <w:highlight w:val="none"/>
        </w:rPr>
        <w:t>产品</w:t>
      </w:r>
      <w:r>
        <w:rPr>
          <w:rFonts w:hint="eastAsia" w:ascii="宋体" w:hAnsi="宋体" w:cs="宋体"/>
          <w:b/>
          <w:color w:val="auto"/>
          <w:spacing w:val="-6"/>
          <w:sz w:val="24"/>
          <w:highlight w:val="none"/>
        </w:rPr>
        <w:t>技术支持材料</w:t>
      </w:r>
    </w:p>
    <w:p>
      <w:pPr>
        <w:spacing w:line="400" w:lineRule="exact"/>
        <w:rPr>
          <w:rFonts w:ascii="宋体" w:hAnsi="宋体" w:cs="宋体"/>
          <w:b/>
          <w:color w:val="auto"/>
          <w:spacing w:val="-6"/>
          <w:sz w:val="24"/>
          <w:highlight w:val="none"/>
        </w:rPr>
      </w:pPr>
    </w:p>
    <w:p>
      <w:pPr>
        <w:spacing w:line="400" w:lineRule="exact"/>
        <w:rPr>
          <w:rFonts w:ascii="宋体" w:hAnsi="宋体" w:cs="宋体"/>
          <w:b/>
          <w:color w:val="auto"/>
          <w:spacing w:val="-6"/>
          <w:sz w:val="24"/>
          <w:highlight w:val="none"/>
        </w:rPr>
      </w:pP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1.投标人提供技术支持资料以证明其对技术指标的应答；</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2.技术支持资料应是制造商公开发布的印刷资料（彩页、Datasheet）或由有关政府部门或检测机构合法出具的文件或报告；</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3.不符合上述要求的资料，可被视为是无效的技术支持资料；</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4.如上述资料之间存在不一致的，以有关政府部门或检测机构合法出具的文件或报告为准；</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5.若对技术指标的应答无技术支持资料证明，评标委员会可不予承认，并可认为该应答不符合招标文件要求，将作出不利于投标人的技术评审，其后果将由投标人自行承担；</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6.投标人可提供同等于或优于招标文件要求的产品和服务；</w:t>
      </w:r>
    </w:p>
    <w:p>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7.投标人在商务和技术文件中说明本次投标产品的技术参数是否与官网上公开的技术参数一致，如不一致，明确哪些参数不一致，不一致的原因以及使用何种技术可以达到投标产品参数。</w:t>
      </w: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spacing w:line="400" w:lineRule="exact"/>
        <w:jc w:val="center"/>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1470" w:right="1470"/>
        <w:rPr>
          <w:rFonts w:ascii="宋体" w:hAnsi="宋体" w:cs="宋体"/>
          <w:b/>
          <w:color w:val="auto"/>
          <w:sz w:val="32"/>
          <w:highlight w:val="none"/>
        </w:rPr>
      </w:pPr>
    </w:p>
    <w:p>
      <w:pPr>
        <w:pStyle w:val="14"/>
        <w:ind w:left="0" w:leftChars="0" w:right="1470"/>
        <w:rPr>
          <w:rFonts w:ascii="宋体" w:hAnsi="宋体" w:cs="宋体"/>
          <w:b/>
          <w:color w:val="auto"/>
          <w:sz w:val="32"/>
          <w:highlight w:val="none"/>
        </w:rPr>
      </w:pPr>
    </w:p>
    <w:p>
      <w:pPr>
        <w:pStyle w:val="14"/>
        <w:ind w:left="0" w:leftChars="0" w:right="1470"/>
        <w:rPr>
          <w:rFonts w:ascii="宋体" w:hAnsi="宋体" w:cs="宋体"/>
          <w:b/>
          <w:color w:val="auto"/>
          <w:sz w:val="32"/>
          <w:highlight w:val="none"/>
        </w:rPr>
      </w:pPr>
    </w:p>
    <w:p>
      <w:pPr>
        <w:spacing w:line="400" w:lineRule="exact"/>
        <w:rPr>
          <w:rFonts w:hint="eastAsia" w:ascii="宋体" w:hAnsi="宋体" w:eastAsia="宋体" w:cs="宋体"/>
          <w:b/>
          <w:color w:val="auto"/>
          <w:spacing w:val="-6"/>
          <w:sz w:val="24"/>
          <w:highlight w:val="none"/>
          <w:lang w:eastAsia="zh-CN"/>
        </w:rPr>
      </w:pPr>
      <w:r>
        <w:rPr>
          <w:rFonts w:hint="eastAsia" w:ascii="宋体" w:hAnsi="宋体" w:cs="宋体"/>
          <w:b/>
          <w:color w:val="auto"/>
          <w:sz w:val="24"/>
          <w:szCs w:val="24"/>
          <w:highlight w:val="none"/>
        </w:rPr>
        <w:t>附件1</w:t>
      </w:r>
      <w:r>
        <w:rPr>
          <w:rFonts w:hint="eastAsia" w:ascii="宋体" w:hAnsi="宋体" w:cs="宋体"/>
          <w:b/>
          <w:color w:val="auto"/>
          <w:sz w:val="24"/>
          <w:szCs w:val="24"/>
          <w:highlight w:val="none"/>
          <w:lang w:val="en-US" w:eastAsia="zh-CN"/>
        </w:rPr>
        <w:t>7</w:t>
      </w:r>
    </w:p>
    <w:p>
      <w:pPr>
        <w:pStyle w:val="61"/>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pPr>
        <w:pStyle w:val="61"/>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pPr>
        <w:pStyle w:val="61"/>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单位）</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61"/>
        <w:numPr>
          <w:ilvl w:val="0"/>
          <w:numId w:val="6"/>
        </w:numPr>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kern w:val="0"/>
          <w:sz w:val="24"/>
          <w:szCs w:val="24"/>
          <w:highlight w:val="none"/>
          <w:u w:val="single"/>
        </w:rPr>
        <w:t xml:space="preserve">     </w:t>
      </w:r>
      <w:r>
        <w:rPr>
          <w:rFonts w:hAnsi="宋体" w:eastAsia="宋体" w:cs="宋体"/>
          <w:color w:val="auto"/>
          <w:kern w:val="0"/>
          <w:sz w:val="24"/>
          <w:szCs w:val="24"/>
          <w:highlight w:val="none"/>
        </w:rPr>
        <w:t>：</w:t>
      </w:r>
    </w:p>
    <w:p>
      <w:pPr>
        <w:pStyle w:val="61"/>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pPr>
        <w:pStyle w:val="61"/>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pPr>
        <w:pStyle w:val="62"/>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61"/>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pPr>
        <w:pStyle w:val="61"/>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pPr>
        <w:pStyle w:val="61"/>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pPr>
        <w:pStyle w:val="61"/>
        <w:snapToGrid w:val="0"/>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pPr>
        <w:pStyle w:val="61"/>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pPr>
        <w:pStyle w:val="61"/>
        <w:snapToGrid w:val="0"/>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pPr>
        <w:pStyle w:val="61"/>
        <w:snapToGrid w:val="0"/>
        <w:spacing w:line="400" w:lineRule="exact"/>
        <w:outlineLvl w:val="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pPr>
        <w:pStyle w:val="61"/>
        <w:snapToGrid w:val="0"/>
        <w:spacing w:line="400" w:lineRule="exact"/>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pPr>
        <w:pStyle w:val="61"/>
        <w:snapToGrid w:val="0"/>
        <w:spacing w:line="400" w:lineRule="exact"/>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z w:val="24"/>
          <w:szCs w:val="24"/>
          <w:highlight w:val="none"/>
          <w:u w:val="single"/>
        </w:rPr>
        <w:t xml:space="preserve">                                </w:t>
      </w:r>
      <w:r>
        <w:rPr>
          <w:rFonts w:hAnsi="宋体" w:eastAsia="宋体" w:cs="宋体"/>
          <w:color w:val="auto"/>
          <w:kern w:val="0"/>
          <w:sz w:val="24"/>
          <w:szCs w:val="24"/>
          <w:highlight w:val="none"/>
        </w:rPr>
        <w:t>。</w:t>
      </w:r>
    </w:p>
    <w:p>
      <w:pPr>
        <w:pStyle w:val="62"/>
        <w:widowControl/>
        <w:numPr>
          <w:ilvl w:val="0"/>
          <w:numId w:val="7"/>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62"/>
        <w:widowControl/>
        <w:numPr>
          <w:ilvl w:val="0"/>
          <w:numId w:val="7"/>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项利害关系。</w:t>
      </w:r>
    </w:p>
    <w:p>
      <w:pPr>
        <w:pStyle w:val="61"/>
        <w:snapToGrid w:val="0"/>
        <w:spacing w:line="400" w:lineRule="exact"/>
        <w:ind w:firstLine="480" w:firstLineChars="200"/>
        <w:rPr>
          <w:rFonts w:hint="default" w:hAnsi="宋体" w:eastAsia="宋体" w:cs="宋体"/>
          <w:color w:val="auto"/>
          <w:sz w:val="24"/>
          <w:szCs w:val="24"/>
          <w:highlight w:val="none"/>
        </w:rPr>
      </w:pPr>
    </w:p>
    <w:p>
      <w:pPr>
        <w:pStyle w:val="61"/>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pPr>
        <w:pStyle w:val="61"/>
        <w:snapToGrid w:val="0"/>
        <w:spacing w:line="600" w:lineRule="exact"/>
        <w:jc w:val="right"/>
        <w:rPr>
          <w:rFonts w:hint="default" w:hAnsi="宋体" w:eastAsia="宋体" w:cs="宋体"/>
          <w:color w:val="auto"/>
          <w:sz w:val="24"/>
          <w:szCs w:val="24"/>
          <w:highlight w:val="none"/>
        </w:rPr>
      </w:pPr>
      <w:r>
        <w:rPr>
          <w:rFonts w:hint="eastAsia" w:eastAsia="宋体" w:cs="宋体"/>
          <w:color w:val="auto"/>
          <w:sz w:val="24"/>
          <w:szCs w:val="24"/>
          <w:highlight w:val="none"/>
          <w:lang w:eastAsia="zh-CN"/>
        </w:rPr>
        <w:t>2022年07月27日</w:t>
      </w:r>
      <w:r>
        <w:rPr>
          <w:rFonts w:hAnsi="宋体" w:eastAsia="宋体" w:cs="宋体"/>
          <w:color w:val="auto"/>
          <w:sz w:val="24"/>
          <w:szCs w:val="24"/>
          <w:highlight w:val="none"/>
        </w:rPr>
        <w:t xml:space="preserve"> </w:t>
      </w:r>
    </w:p>
    <w:p>
      <w:pPr>
        <w:pStyle w:val="14"/>
        <w:ind w:left="1470" w:right="1470"/>
        <w:rPr>
          <w:rFonts w:ascii="宋体" w:hAnsi="宋体" w:cs="宋体"/>
          <w:color w:val="auto"/>
          <w:sz w:val="24"/>
          <w:szCs w:val="24"/>
          <w:highlight w:val="none"/>
        </w:rPr>
      </w:pPr>
    </w:p>
    <w:p>
      <w:pPr>
        <w:pStyle w:val="14"/>
        <w:ind w:left="1470" w:right="1470"/>
        <w:rPr>
          <w:rFonts w:ascii="宋体" w:hAnsi="宋体" w:cs="宋体"/>
          <w:color w:val="auto"/>
          <w:kern w:val="0"/>
          <w:sz w:val="24"/>
          <w:szCs w:val="24"/>
          <w:highlight w:val="none"/>
        </w:rPr>
      </w:pPr>
    </w:p>
    <w:p>
      <w:pPr>
        <w:pStyle w:val="14"/>
        <w:spacing w:after="0"/>
        <w:ind w:left="0" w:leftChars="0" w:right="0" w:rightChars="0"/>
        <w:jc w:val="center"/>
        <w:rPr>
          <w:rFonts w:ascii="宋体" w:hAnsi="宋体" w:cs="宋体"/>
          <w:b/>
          <w:color w:val="auto"/>
          <w:sz w:val="32"/>
          <w:highlight w:val="none"/>
        </w:rPr>
      </w:pPr>
    </w:p>
    <w:p>
      <w:pPr>
        <w:pStyle w:val="14"/>
        <w:spacing w:after="0"/>
        <w:ind w:left="0" w:leftChars="0" w:right="0" w:rightChars="0"/>
        <w:jc w:val="center"/>
        <w:rPr>
          <w:rFonts w:ascii="宋体" w:hAnsi="宋体" w:cs="宋体"/>
          <w:b/>
          <w:color w:val="auto"/>
          <w:sz w:val="32"/>
          <w:highlight w:val="none"/>
        </w:rPr>
      </w:pPr>
    </w:p>
    <w:p>
      <w:pPr>
        <w:pStyle w:val="14"/>
        <w:spacing w:after="0"/>
        <w:ind w:left="0" w:leftChars="0" w:right="0" w:rightChars="0"/>
        <w:jc w:val="center"/>
        <w:rPr>
          <w:rFonts w:ascii="宋体" w:hAnsi="宋体" w:cs="宋体"/>
          <w:b/>
          <w:color w:val="auto"/>
          <w:sz w:val="32"/>
          <w:highlight w:val="none"/>
        </w:rPr>
      </w:pPr>
    </w:p>
    <w:p>
      <w:pPr>
        <w:pStyle w:val="14"/>
        <w:spacing w:after="0"/>
        <w:ind w:left="0" w:leftChars="0" w:right="0" w:rightChars="0"/>
        <w:jc w:val="center"/>
        <w:rPr>
          <w:rFonts w:ascii="宋体" w:hAnsi="宋体" w:cs="宋体"/>
          <w:b/>
          <w:color w:val="auto"/>
          <w:sz w:val="32"/>
          <w:highlight w:val="none"/>
        </w:rPr>
      </w:pPr>
    </w:p>
    <w:p>
      <w:pPr>
        <w:pStyle w:val="14"/>
        <w:spacing w:after="0"/>
        <w:ind w:left="0" w:leftChars="0" w:right="0" w:rightChars="0"/>
        <w:jc w:val="center"/>
        <w:rPr>
          <w:rFonts w:ascii="宋体" w:hAnsi="宋体" w:cs="宋体"/>
          <w:b/>
          <w:color w:val="auto"/>
          <w:sz w:val="32"/>
          <w:highlight w:val="none"/>
        </w:rPr>
      </w:pPr>
    </w:p>
    <w:p>
      <w:pPr>
        <w:pStyle w:val="14"/>
        <w:spacing w:after="0"/>
        <w:ind w:left="0" w:leftChars="0" w:right="0" w:rightChars="0"/>
        <w:jc w:val="center"/>
        <w:rPr>
          <w:rFonts w:ascii="宋体" w:hAnsi="宋体" w:cs="宋体"/>
          <w:b/>
          <w:color w:val="auto"/>
          <w:sz w:val="32"/>
          <w:highlight w:val="none"/>
        </w:rPr>
      </w:pPr>
      <w:r>
        <w:rPr>
          <w:rFonts w:hint="eastAsia" w:ascii="宋体" w:hAnsi="宋体" w:cs="宋体"/>
          <w:b/>
          <w:color w:val="auto"/>
          <w:sz w:val="32"/>
          <w:highlight w:val="none"/>
        </w:rPr>
        <w:t>第五部分 采购需求</w:t>
      </w:r>
    </w:p>
    <w:p>
      <w:pPr>
        <w:pStyle w:val="15"/>
        <w:overflowPunct/>
        <w:autoSpaceDE/>
        <w:autoSpaceDN/>
        <w:adjustRightInd/>
        <w:snapToGrid w:val="0"/>
        <w:spacing w:line="360" w:lineRule="exact"/>
        <w:textAlignment w:val="auto"/>
        <w:outlineLvl w:val="0"/>
        <w:rPr>
          <w:rFonts w:hAnsi="宋体" w:cs="宋体"/>
          <w:b/>
          <w:bCs/>
          <w:color w:val="auto"/>
          <w:sz w:val="22"/>
          <w:highlight w:val="none"/>
        </w:rPr>
      </w:pPr>
      <w:r>
        <w:rPr>
          <w:rFonts w:hint="eastAsia" w:hAnsi="宋体" w:cs="宋体"/>
          <w:b/>
          <w:bCs/>
          <w:color w:val="auto"/>
          <w:sz w:val="22"/>
          <w:highlight w:val="none"/>
        </w:rPr>
        <w:t>一、采购内容及数量</w:t>
      </w:r>
    </w:p>
    <w:tbl>
      <w:tblPr>
        <w:tblStyle w:val="28"/>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668"/>
        <w:gridCol w:w="125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60" w:type="dxa"/>
            <w:vAlign w:val="center"/>
          </w:tcPr>
          <w:p>
            <w:pPr>
              <w:widowControl/>
              <w:snapToGrid w:val="0"/>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序号</w:t>
            </w:r>
          </w:p>
        </w:tc>
        <w:tc>
          <w:tcPr>
            <w:tcW w:w="4668" w:type="dxa"/>
            <w:vAlign w:val="center"/>
          </w:tcPr>
          <w:p>
            <w:pPr>
              <w:widowControl/>
              <w:snapToGrid w:val="0"/>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内容</w:t>
            </w:r>
          </w:p>
        </w:tc>
        <w:tc>
          <w:tcPr>
            <w:tcW w:w="1256" w:type="dxa"/>
            <w:vAlign w:val="center"/>
          </w:tcPr>
          <w:p>
            <w:pPr>
              <w:widowControl/>
              <w:snapToGrid w:val="0"/>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数量</w:t>
            </w:r>
          </w:p>
        </w:tc>
        <w:tc>
          <w:tcPr>
            <w:tcW w:w="1571" w:type="dxa"/>
            <w:vAlign w:val="center"/>
          </w:tcPr>
          <w:p>
            <w:pPr>
              <w:widowControl/>
              <w:snapToGrid w:val="0"/>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4668"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pacing w:val="-6"/>
                <w:sz w:val="22"/>
                <w:highlight w:val="none"/>
              </w:rPr>
              <w:t>温州理工学院滨海校区多媒体教室建设（二期）</w:t>
            </w:r>
          </w:p>
        </w:tc>
        <w:tc>
          <w:tcPr>
            <w:tcW w:w="1256" w:type="dxa"/>
            <w:vAlign w:val="center"/>
          </w:tcPr>
          <w:p>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1批</w:t>
            </w:r>
          </w:p>
        </w:tc>
        <w:tc>
          <w:tcPr>
            <w:tcW w:w="1571" w:type="dxa"/>
            <w:vAlign w:val="center"/>
          </w:tcPr>
          <w:p>
            <w:pPr>
              <w:spacing w:line="360" w:lineRule="exact"/>
              <w:jc w:val="center"/>
              <w:rPr>
                <w:rFonts w:ascii="宋体" w:hAnsi="宋体" w:cs="宋体"/>
                <w:color w:val="auto"/>
                <w:sz w:val="22"/>
                <w:highlight w:val="none"/>
              </w:rPr>
            </w:pPr>
          </w:p>
        </w:tc>
      </w:tr>
    </w:tbl>
    <w:p>
      <w:pPr>
        <w:widowControl/>
        <w:adjustRightInd w:val="0"/>
        <w:snapToGrid w:val="0"/>
        <w:spacing w:line="360" w:lineRule="exact"/>
        <w:rPr>
          <w:rFonts w:ascii="宋体" w:hAnsi="宋体" w:cs="宋体"/>
          <w:b/>
          <w:bCs/>
          <w:color w:val="auto"/>
          <w:sz w:val="22"/>
          <w:highlight w:val="none"/>
        </w:rPr>
      </w:pPr>
      <w:r>
        <w:rPr>
          <w:rFonts w:hint="eastAsia" w:ascii="宋体" w:hAnsi="宋体" w:cs="宋体"/>
          <w:b/>
          <w:bCs/>
          <w:color w:val="auto"/>
          <w:sz w:val="22"/>
          <w:highlight w:val="none"/>
        </w:rPr>
        <w:t>二.为落实政府采购政策需满足的要求：</w:t>
      </w:r>
    </w:p>
    <w:tbl>
      <w:tblPr>
        <w:tblStyle w:val="28"/>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866"/>
        <w:gridCol w:w="5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政策名称</w:t>
            </w:r>
          </w:p>
        </w:tc>
        <w:tc>
          <w:tcPr>
            <w:tcW w:w="568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政府采购促进中小企业发展</w:t>
            </w:r>
          </w:p>
        </w:tc>
        <w:tc>
          <w:tcPr>
            <w:tcW w:w="5686" w:type="dxa"/>
            <w:vAlign w:val="center"/>
          </w:tcPr>
          <w:p>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政府采购支持监狱企业发展</w:t>
            </w:r>
          </w:p>
        </w:tc>
        <w:tc>
          <w:tcPr>
            <w:tcW w:w="5686" w:type="dxa"/>
            <w:vAlign w:val="center"/>
          </w:tcPr>
          <w:p>
            <w:pPr>
              <w:widowControl/>
              <w:adjustRightInd w:val="0"/>
              <w:snapToGrid w:val="0"/>
              <w:spacing w:line="360" w:lineRule="exact"/>
              <w:jc w:val="lef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政府采购促进残疾人就业</w:t>
            </w:r>
          </w:p>
        </w:tc>
        <w:tc>
          <w:tcPr>
            <w:tcW w:w="5686" w:type="dxa"/>
            <w:vAlign w:val="center"/>
          </w:tcPr>
          <w:p>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政府采购节能环保产品</w:t>
            </w:r>
          </w:p>
        </w:tc>
        <w:tc>
          <w:tcPr>
            <w:tcW w:w="5686" w:type="dxa"/>
            <w:vAlign w:val="center"/>
          </w:tcPr>
          <w:p>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pPr>
              <w:widowControl/>
              <w:adjustRightInd w:val="0"/>
              <w:snapToGrid w:val="0"/>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rPr>
              <w:t>▲2、</w:t>
            </w:r>
            <w:r>
              <w:rPr>
                <w:rFonts w:hint="eastAsia" w:ascii="宋体" w:hAnsi="宋体" w:eastAsia="宋体" w:cs="宋体"/>
                <w:b w:val="0"/>
                <w:bCs w:val="0"/>
                <w:color w:val="auto"/>
                <w:sz w:val="22"/>
                <w:szCs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宋体" w:hAnsi="宋体" w:cs="宋体"/>
                <w:color w:val="auto"/>
                <w:sz w:val="22"/>
                <w:highlight w:val="none"/>
                <w:u w:val="single"/>
              </w:rPr>
              <w:t>。</w:t>
            </w:r>
          </w:p>
          <w:p>
            <w:pPr>
              <w:widowControl/>
              <w:adjustRightInd w:val="0"/>
              <w:snapToGrid w:val="0"/>
              <w:spacing w:line="360" w:lineRule="exact"/>
              <w:rPr>
                <w:rFonts w:ascii="宋体" w:hAnsi="宋体" w:cs="宋体"/>
                <w:color w:val="auto"/>
                <w:sz w:val="22"/>
                <w:highlight w:val="none"/>
              </w:rPr>
            </w:pPr>
            <w:r>
              <w:rPr>
                <w:rFonts w:hint="eastAsia" w:ascii="宋体" w:hAnsi="宋体" w:cs="宋体"/>
                <w:b/>
                <w:bCs/>
                <w:color w:val="auto"/>
                <w:sz w:val="22"/>
                <w:highlight w:val="none"/>
                <w:u w:val="none"/>
              </w:rPr>
              <w:t>本项目强制采购节能产品为：</w:t>
            </w:r>
            <w:r>
              <w:rPr>
                <w:rFonts w:hint="eastAsia" w:ascii="宋体" w:hAnsi="宋体" w:cs="宋体"/>
                <w:b/>
                <w:bCs/>
                <w:color w:val="auto"/>
                <w:kern w:val="0"/>
                <w:sz w:val="22"/>
                <w:highlight w:val="none"/>
                <w:u w:val="none"/>
                <w:lang w:val="en-US" w:eastAsia="zh-CN"/>
              </w:rPr>
              <w:t>辅助显示屏（</w:t>
            </w:r>
            <w:r>
              <w:rPr>
                <w:rFonts w:hint="eastAsia" w:ascii="宋体" w:hAnsi="宋体" w:cs="宋体"/>
                <w:b/>
                <w:bCs/>
                <w:color w:val="auto"/>
                <w:kern w:val="0"/>
                <w:sz w:val="22"/>
                <w:highlight w:val="none"/>
                <w:u w:val="none"/>
              </w:rPr>
              <w:t>电视机</w:t>
            </w:r>
            <w:r>
              <w:rPr>
                <w:rFonts w:hint="eastAsia" w:ascii="宋体" w:hAnsi="宋体" w:cs="宋体"/>
                <w:b/>
                <w:bCs/>
                <w:color w:val="auto"/>
                <w:kern w:val="0"/>
                <w:sz w:val="22"/>
                <w:highlight w:val="none"/>
                <w:u w:val="none"/>
                <w:lang w:val="en-US" w:eastAsia="zh-CN"/>
              </w:rPr>
              <w:t>）</w:t>
            </w:r>
            <w:r>
              <w:rPr>
                <w:rFonts w:hint="eastAsia" w:ascii="宋体" w:hAnsi="宋体" w:cs="宋体"/>
                <w:b/>
                <w:bCs/>
                <w:color w:val="auto"/>
                <w:sz w:val="22"/>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2866" w:type="dxa"/>
            <w:vAlign w:val="center"/>
          </w:tcPr>
          <w:p>
            <w:pPr>
              <w:widowControl/>
              <w:adjustRightInd w:val="0"/>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政府采购进口产品</w:t>
            </w:r>
          </w:p>
        </w:tc>
        <w:tc>
          <w:tcPr>
            <w:tcW w:w="5686" w:type="dxa"/>
            <w:vAlign w:val="center"/>
          </w:tcPr>
          <w:p>
            <w:pPr>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不允许</w:t>
            </w:r>
          </w:p>
        </w:tc>
      </w:tr>
    </w:tbl>
    <w:p>
      <w:pPr>
        <w:widowControl/>
        <w:adjustRightInd w:val="0"/>
        <w:snapToGrid w:val="0"/>
        <w:spacing w:line="360" w:lineRule="exact"/>
        <w:outlineLvl w:val="0"/>
        <w:rPr>
          <w:rFonts w:ascii="宋体" w:hAnsi="宋体" w:cs="宋体"/>
          <w:b/>
          <w:bCs/>
          <w:color w:val="auto"/>
          <w:spacing w:val="-6"/>
          <w:sz w:val="22"/>
          <w:highlight w:val="none"/>
        </w:rPr>
      </w:pPr>
      <w:r>
        <w:rPr>
          <w:rFonts w:hint="eastAsia" w:ascii="宋体" w:hAnsi="宋体" w:cs="宋体"/>
          <w:b/>
          <w:bCs/>
          <w:color w:val="auto"/>
          <w:kern w:val="0"/>
          <w:sz w:val="22"/>
          <w:highlight w:val="none"/>
        </w:rPr>
        <w:t>三.</w:t>
      </w:r>
      <w:r>
        <w:rPr>
          <w:rFonts w:hint="eastAsia" w:ascii="宋体" w:hAnsi="宋体" w:cs="宋体"/>
          <w:b/>
          <w:bCs/>
          <w:color w:val="auto"/>
          <w:spacing w:val="-6"/>
          <w:sz w:val="22"/>
          <w:highlight w:val="none"/>
        </w:rPr>
        <w:t>商务要求（技术要求里另有注明的以技术要求为准）</w:t>
      </w:r>
    </w:p>
    <w:tbl>
      <w:tblPr>
        <w:tblStyle w:val="28"/>
        <w:tblW w:w="92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7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77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▲一、履约保证金支付</w:t>
            </w:r>
          </w:p>
          <w:p>
            <w:pPr>
              <w:widowControl/>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合同签订后，中标人5个工作日内支付合同金额的1%作为履约保证金</w:t>
            </w:r>
            <w:r>
              <w:rPr>
                <w:rFonts w:hint="eastAsia" w:ascii="宋体" w:hAnsi="宋体" w:cs="宋体"/>
                <w:color w:val="auto"/>
                <w:sz w:val="22"/>
                <w:highlight w:val="none"/>
                <w:u w:val="single"/>
                <w:lang w:eastAsia="zh-CN"/>
              </w:rPr>
              <w:t>（以</w:t>
            </w:r>
            <w:r>
              <w:rPr>
                <w:rFonts w:hint="eastAsia" w:ascii="宋体" w:hAnsi="宋体" w:eastAsia="宋体" w:cs="Helvetica"/>
                <w:color w:val="auto"/>
                <w:kern w:val="0"/>
                <w:szCs w:val="21"/>
                <w:highlight w:val="none"/>
                <w:u w:val="single"/>
              </w:rPr>
              <w:t>支票、汇票、本票或者金融机构、担保机构出具的保函等非现金形式提交</w:t>
            </w:r>
            <w:r>
              <w:rPr>
                <w:rFonts w:hint="eastAsia" w:ascii="宋体" w:hAnsi="宋体" w:eastAsia="宋体"/>
                <w:color w:val="auto"/>
                <w:szCs w:val="21"/>
                <w:highlight w:val="none"/>
                <w:u w:val="single"/>
              </w:rPr>
              <w:t>。鼓励和支持供应商以银行、保险公司出具的保函形式提供履约保证金。</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，履约保证金自项目验收合格之日起无质量问题，采购人按程序在7个工作日内无息退还。</w:t>
            </w:r>
          </w:p>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▲二、合同金额结算及支付方式：</w:t>
            </w:r>
          </w:p>
          <w:p>
            <w:pPr>
              <w:keepNext w:val="0"/>
              <w:keepLines w:val="0"/>
              <w:pageBreakBefore w:val="0"/>
              <w:kinsoku/>
              <w:wordWrap/>
              <w:overflowPunct/>
              <w:topLinePunct w:val="0"/>
              <w:bidi w:val="0"/>
              <w:spacing w:line="360" w:lineRule="exact"/>
              <w:ind w:left="0" w:lef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合同生效</w:t>
            </w:r>
            <w:r>
              <w:rPr>
                <w:rFonts w:hint="eastAsia" w:ascii="宋体" w:hAnsi="宋体" w:eastAsia="宋体" w:cs="宋体"/>
                <w:bCs/>
                <w:color w:val="auto"/>
                <w:sz w:val="22"/>
                <w:szCs w:val="22"/>
                <w:highlight w:val="none"/>
                <w:u w:val="single"/>
                <w:lang w:eastAsia="zh-CN"/>
              </w:rPr>
              <w:t>、</w:t>
            </w:r>
            <w:r>
              <w:rPr>
                <w:rFonts w:hint="eastAsia" w:ascii="宋体" w:hAnsi="宋体" w:cs="宋体"/>
                <w:bCs/>
                <w:color w:val="auto"/>
                <w:sz w:val="22"/>
                <w:szCs w:val="22"/>
                <w:highlight w:val="none"/>
                <w:u w:val="single"/>
              </w:rPr>
              <w:t>采购人收到成交供应商出具的合同金额40%保函</w:t>
            </w:r>
            <w:r>
              <w:rPr>
                <w:rFonts w:hint="eastAsia" w:ascii="宋体" w:hAnsi="宋体" w:eastAsia="宋体" w:cs="宋体"/>
                <w:color w:val="auto"/>
                <w:sz w:val="22"/>
                <w:szCs w:val="22"/>
                <w:highlight w:val="none"/>
                <w:u w:val="single"/>
              </w:rPr>
              <w:t>以及具备实施条件后7个工作日内</w:t>
            </w:r>
            <w:r>
              <w:rPr>
                <w:rFonts w:hint="eastAsia" w:ascii="宋体" w:hAnsi="宋体" w:cs="宋体"/>
                <w:bCs/>
                <w:color w:val="auto"/>
                <w:sz w:val="22"/>
                <w:szCs w:val="22"/>
                <w:highlight w:val="none"/>
                <w:u w:val="single"/>
              </w:rPr>
              <w:t>，向</w:t>
            </w:r>
            <w:r>
              <w:rPr>
                <w:rFonts w:hint="eastAsia" w:ascii="宋体" w:hAnsi="宋体" w:cs="宋体"/>
                <w:bCs/>
                <w:color w:val="auto"/>
                <w:sz w:val="22"/>
                <w:szCs w:val="22"/>
                <w:highlight w:val="none"/>
                <w:u w:val="single"/>
                <w:lang w:eastAsia="zh-CN"/>
              </w:rPr>
              <w:t>中标人</w:t>
            </w:r>
            <w:r>
              <w:rPr>
                <w:rFonts w:hint="eastAsia" w:ascii="宋体" w:hAnsi="宋体" w:cs="宋体"/>
                <w:bCs/>
                <w:color w:val="auto"/>
                <w:sz w:val="22"/>
                <w:szCs w:val="22"/>
                <w:highlight w:val="none"/>
                <w:u w:val="single"/>
              </w:rPr>
              <w:t>支付合同总额40%的预付款</w:t>
            </w:r>
            <w:r>
              <w:rPr>
                <w:rFonts w:hint="eastAsia" w:ascii="宋体" w:hAnsi="宋体" w:eastAsia="宋体" w:cs="宋体"/>
                <w:color w:val="auto"/>
                <w:sz w:val="22"/>
                <w:szCs w:val="22"/>
                <w:highlight w:val="none"/>
                <w:u w:val="single"/>
              </w:rPr>
              <w:t>，中标人</w:t>
            </w:r>
            <w:r>
              <w:rPr>
                <w:rFonts w:hint="eastAsia" w:ascii="宋体" w:hAnsi="宋体" w:eastAsia="宋体" w:cs="宋体"/>
                <w:color w:val="auto"/>
                <w:sz w:val="22"/>
                <w:szCs w:val="22"/>
                <w:highlight w:val="none"/>
                <w:u w:val="single"/>
                <w:lang w:val="zh-CN"/>
              </w:rPr>
              <w:t>完成全部供货及安装、调试</w:t>
            </w:r>
            <w:r>
              <w:rPr>
                <w:rFonts w:hint="eastAsia" w:ascii="宋体" w:hAnsi="宋体" w:cs="宋体"/>
                <w:bCs/>
                <w:color w:val="auto"/>
                <w:sz w:val="22"/>
                <w:szCs w:val="22"/>
                <w:highlight w:val="none"/>
                <w:u w:val="single"/>
                <w:lang w:val="zh-CN"/>
              </w:rPr>
              <w:t>、培训</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val="zh-CN"/>
              </w:rPr>
              <w:t>验收合格并入库后</w:t>
            </w:r>
            <w:r>
              <w:rPr>
                <w:rFonts w:hint="eastAsia" w:ascii="宋体" w:hAnsi="宋体" w:cs="宋体"/>
                <w:bCs/>
                <w:color w:val="auto"/>
                <w:sz w:val="22"/>
                <w:szCs w:val="22"/>
                <w:highlight w:val="none"/>
                <w:u w:val="single"/>
                <w:lang w:val="zh-CN"/>
              </w:rPr>
              <w:t>，采购人支付剩余</w:t>
            </w:r>
            <w:r>
              <w:rPr>
                <w:rFonts w:hint="eastAsia" w:ascii="宋体" w:hAnsi="宋体" w:cs="宋体"/>
                <w:bCs/>
                <w:color w:val="auto"/>
                <w:sz w:val="22"/>
                <w:szCs w:val="22"/>
                <w:highlight w:val="none"/>
                <w:u w:val="single"/>
              </w:rPr>
              <w:t>60%的</w:t>
            </w:r>
            <w:r>
              <w:rPr>
                <w:rFonts w:hint="eastAsia" w:ascii="宋体" w:hAnsi="宋体" w:cs="宋体"/>
                <w:bCs/>
                <w:color w:val="auto"/>
                <w:sz w:val="22"/>
                <w:szCs w:val="22"/>
                <w:highlight w:val="none"/>
                <w:u w:val="single"/>
                <w:lang w:val="zh-CN"/>
              </w:rPr>
              <w:t>合同款并退还保函</w:t>
            </w:r>
            <w:r>
              <w:rPr>
                <w:rFonts w:hint="eastAsia" w:ascii="宋体" w:hAnsi="宋体" w:eastAsia="宋体" w:cs="宋体"/>
                <w:color w:val="auto"/>
                <w:sz w:val="22"/>
                <w:szCs w:val="22"/>
                <w:highlight w:val="none"/>
                <w:u w:val="single"/>
              </w:rPr>
              <w:t>。</w:t>
            </w:r>
          </w:p>
          <w:p>
            <w:pPr>
              <w:widowControl/>
              <w:numPr>
                <w:ilvl w:val="0"/>
                <w:numId w:val="0"/>
              </w:numPr>
              <w:spacing w:line="360" w:lineRule="exact"/>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注：</w:t>
            </w:r>
            <w:r>
              <w:rPr>
                <w:rFonts w:hint="eastAsia" w:ascii="宋体" w:hAnsi="宋体" w:eastAsia="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rPr>
              <w:t>在签订合同时，</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明确表示无需预付款或者主动要求降低预付款比例的，按实际比例计。</w:t>
            </w:r>
          </w:p>
          <w:p>
            <w:pPr>
              <w:widowControl/>
              <w:numPr>
                <w:ilvl w:val="0"/>
                <w:numId w:val="0"/>
              </w:numPr>
              <w:spacing w:line="360" w:lineRule="exact"/>
              <w:ind w:firstLine="440" w:firstLineChars="200"/>
              <w:jc w:val="left"/>
              <w:rPr>
                <w:rFonts w:ascii="宋体" w:hAnsi="宋体" w:cs="宋体"/>
                <w:color w:val="auto"/>
                <w:sz w:val="22"/>
                <w:highlight w:val="none"/>
              </w:rPr>
            </w:pPr>
            <w:r>
              <w:rPr>
                <w:rFonts w:hint="eastAsia" w:ascii="宋体" w:hAnsi="宋体" w:eastAsia="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lang w:val="zh-CN"/>
              </w:rPr>
              <w:t>采购</w:t>
            </w:r>
            <w:r>
              <w:rPr>
                <w:rFonts w:hint="eastAsia" w:ascii="宋体" w:hAnsi="宋体" w:eastAsia="宋体" w:cs="宋体"/>
                <w:color w:val="auto"/>
                <w:sz w:val="22"/>
                <w:szCs w:val="22"/>
                <w:highlight w:val="none"/>
                <w:u w:val="single"/>
                <w:lang w:val="zh-CN" w:eastAsia="zh-CN"/>
              </w:rPr>
              <w:t>人</w:t>
            </w:r>
            <w:r>
              <w:rPr>
                <w:rFonts w:hint="eastAsia" w:ascii="宋体" w:hAnsi="宋体" w:eastAsia="宋体" w:cs="宋体"/>
                <w:color w:val="auto"/>
                <w:sz w:val="22"/>
                <w:szCs w:val="22"/>
                <w:highlight w:val="none"/>
                <w:u w:val="single"/>
                <w:lang w:val="zh-CN"/>
              </w:rPr>
              <w:t>对于满足合同约定支付条件的，自收到发票后7个工作日内将资金支付到合同约定的供应商账户。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交付时间</w:t>
            </w:r>
          </w:p>
        </w:tc>
        <w:tc>
          <w:tcPr>
            <w:tcW w:w="774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bCs/>
                <w:color w:val="auto"/>
                <w:sz w:val="22"/>
                <w:highlight w:val="none"/>
              </w:rPr>
              <w:t>2022年08月</w:t>
            </w:r>
            <w:r>
              <w:rPr>
                <w:rFonts w:ascii="宋体" w:hAnsi="宋体" w:cs="宋体"/>
                <w:bCs/>
                <w:color w:val="auto"/>
                <w:sz w:val="22"/>
                <w:highlight w:val="none"/>
              </w:rPr>
              <w:t>25</w:t>
            </w:r>
            <w:r>
              <w:rPr>
                <w:rFonts w:hint="eastAsia" w:ascii="宋体" w:hAnsi="宋体" w:cs="宋体"/>
                <w:bCs/>
                <w:color w:val="auto"/>
                <w:sz w:val="22"/>
                <w:highlight w:val="none"/>
              </w:rPr>
              <w:t>日前交货完毕并安装调试完成。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7740"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c>
          <w:tcPr>
            <w:tcW w:w="77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自项目整体通过验收合格之日起3年</w:t>
            </w:r>
            <w:r>
              <w:rPr>
                <w:rFonts w:hint="eastAsia" w:ascii="宋体" w:hAnsi="宋体" w:cs="宋体"/>
                <w:color w:val="auto"/>
                <w:sz w:val="22"/>
                <w:highlight w:val="none"/>
              </w:rPr>
              <w:t>。</w:t>
            </w:r>
            <w:r>
              <w:rPr>
                <w:rFonts w:hint="eastAsia" w:ascii="宋体" w:hAnsi="宋体" w:cs="宋体"/>
                <w:bCs/>
                <w:color w:val="auto"/>
                <w:sz w:val="22"/>
                <w:highlight w:val="none"/>
              </w:rPr>
              <w:t>质保期内，承诺提供免费技术支撑与维护，且提供软件免费升级。</w:t>
            </w:r>
          </w:p>
          <w:p>
            <w:pPr>
              <w:pStyle w:val="9"/>
              <w:widowControl/>
              <w:adjustRightInd w:val="0"/>
              <w:snapToGrid w:val="0"/>
              <w:spacing w:line="360" w:lineRule="exact"/>
              <w:rPr>
                <w:rFonts w:ascii="宋体" w:hAnsi="宋体" w:cs="宋体"/>
                <w:color w:val="auto"/>
                <w:sz w:val="22"/>
                <w:highlight w:val="none"/>
              </w:rPr>
            </w:pPr>
            <w:r>
              <w:rPr>
                <w:rFonts w:hint="eastAsia" w:ascii="宋体" w:hAnsi="宋体" w:cs="宋体"/>
                <w:bCs/>
                <w:color w:val="auto"/>
                <w:sz w:val="22"/>
                <w:highlight w:val="none"/>
              </w:rPr>
              <w:t>注：以上质保期有特别说明的除外。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驻场服务</w:t>
            </w:r>
          </w:p>
        </w:tc>
        <w:tc>
          <w:tcPr>
            <w:tcW w:w="77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Cs/>
                <w:color w:val="auto"/>
                <w:sz w:val="22"/>
                <w:highlight w:val="none"/>
              </w:rPr>
            </w:pPr>
            <w:r>
              <w:rPr>
                <w:rFonts w:hint="eastAsia" w:ascii="宋体" w:hAnsi="宋体" w:cs="宋体"/>
                <w:color w:val="auto"/>
                <w:sz w:val="22"/>
                <w:highlight w:val="none"/>
                <w:u w:val="single"/>
              </w:rPr>
              <w:t>▲质保期前1年，项目中标人提供驻场服务人员不少于1人，投标文件中提供驻场服务人员信息，在驻场期间如驻场服务人员需变更应事先得到采购人同意。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bCs/>
                <w:color w:val="auto"/>
                <w:sz w:val="22"/>
                <w:highlight w:val="none"/>
              </w:rPr>
            </w:pPr>
            <w:r>
              <w:rPr>
                <w:rFonts w:hint="eastAsia" w:ascii="宋体" w:hAnsi="宋体" w:cs="宋体"/>
                <w:b/>
                <w:bCs/>
                <w:color w:val="auto"/>
                <w:sz w:val="22"/>
                <w:highlight w:val="none"/>
              </w:rPr>
              <w:t>服务标准</w:t>
            </w:r>
          </w:p>
        </w:tc>
        <w:tc>
          <w:tcPr>
            <w:tcW w:w="77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质保期内因不能排除的故障而影响工作的情况每发生一次，其质保期相应延长60天，质保期内因货物本身缺陷造成各种故障或无法排除故障的应由中标人免费予以更换。质保期满后，仅收取零配件成本费用，免人工费、差旅费。</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投标人应保证系统中所有材料设备在质保期满后3年内对于故障部件的更换有合适的配件。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服务效率</w:t>
            </w:r>
          </w:p>
        </w:tc>
        <w:tc>
          <w:tcPr>
            <w:tcW w:w="77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投标人向最终用户提供良好的技术支持。必须要有专门队伍从事此项工作，提供7×24小时的热线技术支持服务，要求即时响应，故障排查时间小于4小时，故障解决时间小于24小时（如24小时内无法排除故障的，要求提供备机使用以确保正常教学）；设备故障不能解决的须在24小时之内提供备机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验收标准</w:t>
            </w:r>
          </w:p>
        </w:tc>
        <w:tc>
          <w:tcPr>
            <w:tcW w:w="77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1.</w:t>
            </w:r>
            <w:r>
              <w:rPr>
                <w:rFonts w:hint="eastAsia" w:ascii="宋体" w:hAnsi="宋体" w:cs="宋体"/>
                <w:color w:val="auto"/>
                <w:sz w:val="22"/>
                <w:highlight w:val="none"/>
              </w:rPr>
              <w:t>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2.采购人对中标人提交的货物依据招标文件上的要求和国家有关质量标准进行现场到货验收，说明书符合招标文件技术要求的给予签收，验收不合格的不予签收。</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3.中标人交货前应对产品做出全面检查和对验收文件进行整理，并列出清单，作为采购人收货验收和使用的技术条件依据，检验的结果应随货物交采购人。</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4.在合同期限内采购人将对中标人提供的货物进行验收（甲方可对乙方的产品送第三方检测机构进行检验），验收中发现合同货物达不到样品验收标准或合同规定的性能指标，中标人必须更换合同货物，并承担由此给采购人造成的损失，直到验收合格为止。</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5.采购人对中标人提供的货物在使用前进行调试时，中标人需负责安装并培训采购人的使用操作人员，并协助采购人一起调试，直到符合技术要求，采购人才做交付验收。</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6.如中标人委托国内代理（或其他机构）负责安装或配合安装，应在签约时指明，但中标人仍要对合同货物及其安装质量负全部责任。</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7.如发现有重大的质量问题，双方均同意提请国家法定检测机构鉴定，如检测结果证明产品无质量问题，由中标人承担检测费用；如检测结果证明产品有质量问题，由中标人承担检测费用，同时中标人同意采购人无条件退货并支付采购人货款总价10%的赔偿金。</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8.验收时中标人必须在现场，验收完毕后作出验收结果报告。</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9.验收费用由中标人承担。</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注：投标人应于投标文件中提供合同货物的验收标准和检测办法，并在验收中提供采购人认可的相应检测手段，验收标准应符合中国有关的国家、地方、行业的标准，如若中标，经采购人确认后作为验收的依据。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w:t>
            </w:r>
          </w:p>
        </w:tc>
        <w:tc>
          <w:tcPr>
            <w:tcW w:w="77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1.培训：</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1.1培训内容要求：设备的工作原理和技术性能；设备的维护、操作、使用和故障排除方法；产品操作使用培训；产品功能使用培训；</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1.2培训方式要求：集中现场培训和微信线上咨询方式；</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1.3培训次数要求：集中培训场次不少于2场；</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1.4培训人员要求：原厂技术工程师。</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2.技术支持：</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成交供应商应及时免费提供合同产品软件的升级，免费提供合同产品新功能和应用的资料。</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3.安装调试（若需要安装调试）：</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3.1 安装地点：采购人指定地点。</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3.2 安装完成时间：接到采购人通知后在7日内完成安装和调试，如在规定的时间内由于成交供应商的原因不能完成安装和调试，成交供应商应承担由此给采购人造成的损失。</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3.3 安装标准：符合我国国家有关技术规范要求和技术标准，所有的软件和硬件必须保证同时安装到位。</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3.4 成交供应商免费提供合同产品的安装服务。</w:t>
            </w:r>
          </w:p>
          <w:p>
            <w:pPr>
              <w:widowControl/>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3.5 成交供应商在响应文件中应提供安装调试计划、对安装场地和环境的要求。</w:t>
            </w:r>
          </w:p>
        </w:tc>
      </w:tr>
    </w:tbl>
    <w:p>
      <w:pPr>
        <w:widowControl/>
        <w:adjustRightInd w:val="0"/>
        <w:snapToGrid w:val="0"/>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四．技术要求</w:t>
      </w:r>
    </w:p>
    <w:p>
      <w:pPr>
        <w:widowControl/>
        <w:adjustRightInd w:val="0"/>
        <w:snapToGrid w:val="0"/>
        <w:spacing w:line="360" w:lineRule="exact"/>
        <w:jc w:val="left"/>
        <w:rPr>
          <w:rFonts w:ascii="宋体" w:hAnsi="宋体" w:cs="宋体"/>
          <w:bCs/>
          <w:color w:val="auto"/>
          <w:sz w:val="22"/>
          <w:highlight w:val="none"/>
        </w:rPr>
      </w:pPr>
      <w:r>
        <w:rPr>
          <w:rFonts w:hint="eastAsia" w:ascii="宋体" w:hAnsi="宋体" w:cs="宋体"/>
          <w:b/>
          <w:color w:val="auto"/>
          <w:sz w:val="22"/>
          <w:highlight w:val="none"/>
        </w:rPr>
        <w:t>核心产品：</w:t>
      </w:r>
      <w:r>
        <w:rPr>
          <w:rFonts w:hint="eastAsia" w:ascii="宋体" w:hAnsi="宋体" w:cs="宋体"/>
          <w:color w:val="auto"/>
          <w:kern w:val="0"/>
          <w:sz w:val="22"/>
          <w:highlight w:val="none"/>
        </w:rPr>
        <w:t>多媒体教室主机1</w:t>
      </w:r>
    </w:p>
    <w:p>
      <w:pPr>
        <w:spacing w:line="360" w:lineRule="exact"/>
        <w:rPr>
          <w:rFonts w:ascii="宋体" w:hAnsi="宋体" w:cs="宋体"/>
          <w:b/>
          <w:bCs/>
          <w:color w:val="auto"/>
          <w:sz w:val="22"/>
          <w:highlight w:val="none"/>
        </w:rPr>
      </w:pPr>
      <w:bookmarkStart w:id="2" w:name="_Toc19789"/>
      <w:bookmarkStart w:id="3" w:name="_Toc271579184"/>
      <w:bookmarkStart w:id="4" w:name="_Toc304361438"/>
      <w:bookmarkStart w:id="5" w:name="_Toc271022856"/>
      <w:r>
        <w:rPr>
          <w:rFonts w:hint="eastAsia" w:ascii="宋体" w:hAnsi="宋体" w:cs="宋体"/>
          <w:b/>
          <w:bCs/>
          <w:color w:val="auto"/>
          <w:sz w:val="22"/>
          <w:highlight w:val="none"/>
        </w:rPr>
        <w:t>（一）总则</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1.本技术要求只是设备及安装的一些原则性规定，并不是详尽的要求，投标人有责任对该设备设计符合技术要求要求负责。</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采购的设备所涉及的产品标准、规范，验收标准、规范，技术标准必须符合《中国教育现代化2035》、《教育信息化2.0行动计划》、《浙江省高校智慧校园建设评价指标体系(试行)》等相关文件精神，应符合国家有关条例及规范，如有新的标准应采纳新标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3.本次采购的设备应适应温州市常年的气候条件，具有在温州市自然环境、海洋性气候条件下全天候正常运行的能力。</w:t>
      </w:r>
    </w:p>
    <w:p>
      <w:pPr>
        <w:spacing w:line="360" w:lineRule="exact"/>
        <w:rPr>
          <w:rFonts w:ascii="宋体" w:hAnsi="宋体" w:cs="宋体"/>
          <w:color w:val="auto"/>
          <w:sz w:val="22"/>
          <w:highlight w:val="none"/>
        </w:rPr>
      </w:pPr>
      <w:r>
        <w:rPr>
          <w:rFonts w:hint="eastAsia" w:ascii="宋体" w:hAnsi="宋体" w:cs="宋体"/>
          <w:b/>
          <w:bCs/>
          <w:color w:val="auto"/>
          <w:sz w:val="22"/>
          <w:highlight w:val="none"/>
        </w:rPr>
        <w:t>（二）技术部分</w:t>
      </w:r>
    </w:p>
    <w:p>
      <w:pPr>
        <w:pStyle w:val="78"/>
        <w:spacing w:line="360" w:lineRule="exact"/>
        <w:outlineLvl w:val="9"/>
        <w:rPr>
          <w:rFonts w:ascii="宋体" w:hAnsi="宋体" w:cs="宋体"/>
          <w:color w:val="auto"/>
          <w:sz w:val="22"/>
          <w:szCs w:val="22"/>
          <w:highlight w:val="none"/>
        </w:rPr>
      </w:pPr>
      <w:bookmarkStart w:id="6" w:name="_Toc367965862"/>
      <w:bookmarkStart w:id="7" w:name="_Toc314008786"/>
      <w:bookmarkStart w:id="8" w:name="_Toc366608477"/>
      <w:r>
        <w:rPr>
          <w:rFonts w:hint="eastAsia" w:ascii="宋体" w:hAnsi="宋体" w:cs="宋体"/>
          <w:color w:val="auto"/>
          <w:sz w:val="22"/>
          <w:szCs w:val="22"/>
          <w:highlight w:val="none"/>
        </w:rPr>
        <w:t>1.系统建设规定和标准</w:t>
      </w:r>
      <w:bookmarkEnd w:id="6"/>
      <w:bookmarkEnd w:id="7"/>
      <w:bookmarkEnd w:id="8"/>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本次智慧教室建设项目参照以下主要规定和标准：</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《智慧校园总体框架》GB/T 36342-2018</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《浙江省高校智慧校园建设评价指标体系（试行）》</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《音频、视频及类似电子设备安全要求》(GB 8898-2011)</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《信息技术设备(包括电气事务设备)的安全》 (GB 49431-2011)</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《安全技术防范管理信息基本数据结构》(GA/T 551-2005)</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如有新的标准应采纳新标准</w:t>
      </w:r>
    </w:p>
    <w:p>
      <w:pPr>
        <w:pStyle w:val="78"/>
        <w:spacing w:line="360" w:lineRule="exact"/>
        <w:outlineLvl w:val="9"/>
        <w:rPr>
          <w:rFonts w:ascii="宋体" w:hAnsi="宋体" w:cs="宋体"/>
          <w:color w:val="auto"/>
          <w:sz w:val="22"/>
          <w:szCs w:val="22"/>
          <w:highlight w:val="none"/>
        </w:rPr>
      </w:pPr>
      <w:bookmarkStart w:id="9" w:name="_Toc31639"/>
      <w:bookmarkStart w:id="10" w:name="_Toc17920"/>
      <w:r>
        <w:rPr>
          <w:rFonts w:hint="eastAsia" w:ascii="宋体" w:hAnsi="宋体" w:cs="宋体"/>
          <w:color w:val="auto"/>
          <w:sz w:val="22"/>
          <w:szCs w:val="22"/>
          <w:highlight w:val="none"/>
        </w:rPr>
        <w:t>2.项目采购要求</w:t>
      </w:r>
      <w:bookmarkEnd w:id="9"/>
      <w:bookmarkEnd w:id="10"/>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2.1智慧教室主机设备需与学校原有融合管控平台对接，实现统一管控；</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.2</w:t>
      </w:r>
      <w:r>
        <w:rPr>
          <w:rFonts w:hint="eastAsia" w:ascii="宋体" w:hAnsi="宋体" w:cs="宋体"/>
          <w:color w:val="auto"/>
          <w:sz w:val="22"/>
          <w:highlight w:val="none"/>
        </w:rPr>
        <w:t>身份中台接入要求</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智慧教室主机设备要求与温州理工学院身份中台对接，便于统一管理用户的认证过程和认证信息。 </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3</w:t>
      </w:r>
      <w:r>
        <w:rPr>
          <w:rFonts w:hint="eastAsia" w:ascii="宋体" w:hAnsi="宋体" w:cs="宋体"/>
          <w:color w:val="auto"/>
          <w:sz w:val="22"/>
          <w:highlight w:val="none"/>
        </w:rPr>
        <w:t>共享数据中心数据对接要求</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智慧教室系统或平台操作界面所出现的数据，按照校方要求都应提供；中标人所需的校方数据中心已存数据，只能以数据对接方式获取，不得以手工方式获取（录入或者导入）；校方所需数据，中标人以只读视图的方式授权和开放系统数据，并提供数据字典。</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4</w:t>
      </w:r>
      <w:r>
        <w:rPr>
          <w:rFonts w:hint="eastAsia" w:ascii="宋体" w:hAnsi="宋体" w:cs="宋体"/>
          <w:color w:val="auto"/>
          <w:sz w:val="22"/>
          <w:highlight w:val="none"/>
        </w:rPr>
        <w:t>与学校教务和一卡通系统集成要求</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根据需要，智慧教室系统与温州理工学院数据中心的教务和一卡通数据对接。</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 平台统一</w:t>
      </w:r>
    </w:p>
    <w:p>
      <w:pPr>
        <w:spacing w:line="36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 xml:space="preserve">为保证已购教学设备资产保值或管理便捷，本次智慧教室购置的教学设备需按校方要求，管控统一。  </w:t>
      </w:r>
    </w:p>
    <w:p>
      <w:pPr>
        <w:numPr>
          <w:ilvl w:val="0"/>
          <w:numId w:val="8"/>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总体构架</w:t>
      </w:r>
    </w:p>
    <w:p>
      <w:pPr>
        <w:spacing w:line="360" w:lineRule="exact"/>
        <w:ind w:firstLine="440" w:firstLineChars="200"/>
        <w:rPr>
          <w:rFonts w:ascii="宋体" w:hAnsi="宋体" w:cs="宋体"/>
          <w:b/>
          <w:bCs/>
          <w:color w:val="auto"/>
          <w:sz w:val="22"/>
          <w:highlight w:val="none"/>
        </w:rPr>
      </w:pPr>
      <w:r>
        <w:rPr>
          <w:rFonts w:hint="eastAsia" w:ascii="宋体" w:hAnsi="宋体" w:cs="宋体"/>
          <w:color w:val="auto"/>
          <w:sz w:val="22"/>
          <w:highlight w:val="none"/>
        </w:rPr>
        <w:t xml:space="preserve">总体架构依据智慧校园架构设计，系统建设主要包括智慧教室基础支撑硬件建设和平台软件建设。硬件主要包括智慧教室主机、显示设备、数据采集设备及实现各类教学业务应用的配套设备； </w:t>
      </w:r>
    </w:p>
    <w:p>
      <w:pPr>
        <w:numPr>
          <w:ilvl w:val="0"/>
          <w:numId w:val="8"/>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温州理工学院2022年度智慧教室建设内容</w:t>
      </w:r>
    </w:p>
    <w:p>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本次智慧教室建设智慧教室2</w:t>
      </w:r>
      <w:r>
        <w:rPr>
          <w:rFonts w:ascii="宋体" w:hAnsi="宋体" w:cs="宋体"/>
          <w:color w:val="auto"/>
          <w:sz w:val="22"/>
          <w:highlight w:val="none"/>
        </w:rPr>
        <w:t>9</w:t>
      </w:r>
      <w:r>
        <w:rPr>
          <w:rFonts w:hint="eastAsia" w:ascii="宋体" w:hAnsi="宋体" w:cs="宋体"/>
          <w:color w:val="auto"/>
          <w:sz w:val="22"/>
          <w:highlight w:val="none"/>
        </w:rPr>
        <w:t>间智慧教室建设清单如下。</w:t>
      </w:r>
    </w:p>
    <w:bookmarkEnd w:id="2"/>
    <w:bookmarkEnd w:id="3"/>
    <w:bookmarkEnd w:id="4"/>
    <w:bookmarkEnd w:id="5"/>
    <w:p>
      <w:pPr>
        <w:pStyle w:val="78"/>
        <w:numPr>
          <w:ilvl w:val="1"/>
          <w:numId w:val="8"/>
        </w:numPr>
        <w:spacing w:line="360" w:lineRule="exact"/>
        <w:outlineLvl w:val="9"/>
        <w:rPr>
          <w:rFonts w:ascii="宋体" w:hAnsi="宋体" w:cs="宋体"/>
          <w:color w:val="auto"/>
          <w:sz w:val="22"/>
          <w:szCs w:val="22"/>
          <w:highlight w:val="none"/>
        </w:rPr>
      </w:pPr>
      <w:bookmarkStart w:id="11" w:name="_Toc18644"/>
      <w:r>
        <w:rPr>
          <w:rFonts w:hint="eastAsia" w:ascii="宋体" w:hAnsi="宋体" w:cs="宋体"/>
          <w:color w:val="auto"/>
          <w:sz w:val="22"/>
          <w:szCs w:val="22"/>
          <w:highlight w:val="none"/>
        </w:rPr>
        <w:t>温州理工学院2022年度智慧教室建设教学设备清单</w:t>
      </w:r>
    </w:p>
    <w:tbl>
      <w:tblPr>
        <w:tblStyle w:val="2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969"/>
        <w:gridCol w:w="1276"/>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设备名称</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单位</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数量</w:t>
            </w:r>
          </w:p>
        </w:tc>
        <w:tc>
          <w:tcPr>
            <w:tcW w:w="155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多媒体教室主机1</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55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多媒体教室主机2</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55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拾音麦克风</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个</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40</w:t>
            </w:r>
          </w:p>
        </w:tc>
        <w:tc>
          <w:tcPr>
            <w:tcW w:w="155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3969" w:type="dxa"/>
            <w:tcBorders>
              <w:tl2br w:val="nil"/>
              <w:tr2bl w:val="nil"/>
            </w:tcBorders>
            <w:shd w:val="clear" w:color="000000" w:fill="FFFFFF"/>
            <w:vAlign w:val="center"/>
          </w:tcPr>
          <w:p>
            <w:pPr>
              <w:widowControl/>
              <w:spacing w:line="360" w:lineRule="exac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高清摄像机1</w:t>
            </w:r>
            <w:r>
              <w:rPr>
                <w:rFonts w:hint="eastAsia" w:ascii="宋体" w:hAnsi="宋体" w:cs="宋体"/>
                <w:color w:val="auto"/>
                <w:kern w:val="0"/>
                <w:sz w:val="22"/>
                <w:highlight w:val="none"/>
                <w:lang w:val="en-US" w:eastAsia="zh-CN"/>
              </w:rPr>
              <w:t>（4K网络）</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台</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55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高清摄像机2</w:t>
            </w:r>
            <w:r>
              <w:rPr>
                <w:rFonts w:hint="eastAsia" w:ascii="宋体" w:hAnsi="宋体" w:cs="宋体"/>
                <w:color w:val="auto"/>
                <w:kern w:val="0"/>
                <w:sz w:val="22"/>
                <w:highlight w:val="none"/>
                <w:lang w:val="en-US" w:eastAsia="zh-CN"/>
              </w:rPr>
              <w:t>（USB）</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台</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55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音箱</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55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讲台</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559" w:type="dxa"/>
            <w:tcBorders>
              <w:tl2br w:val="nil"/>
              <w:tr2bl w:val="nil"/>
            </w:tcBorders>
            <w:shd w:val="clear" w:color="000000" w:fill="FFFFFF"/>
            <w:vAlign w:val="center"/>
          </w:tcPr>
          <w:p>
            <w:pPr>
              <w:widowControl/>
              <w:spacing w:line="360" w:lineRule="exact"/>
              <w:jc w:val="left"/>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电子班牌</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559" w:type="dxa"/>
            <w:tcBorders>
              <w:tl2br w:val="nil"/>
              <w:tr2bl w:val="nil"/>
            </w:tcBorders>
            <w:shd w:val="clear" w:color="000000" w:fill="FFFFFF"/>
            <w:vAlign w:val="center"/>
          </w:tcPr>
          <w:p>
            <w:pPr>
              <w:widowControl/>
              <w:spacing w:line="360" w:lineRule="exact"/>
              <w:jc w:val="left"/>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电子时钟</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559" w:type="dxa"/>
            <w:tcBorders>
              <w:tl2br w:val="nil"/>
              <w:tr2bl w:val="nil"/>
            </w:tcBorders>
            <w:shd w:val="clear" w:color="000000" w:fill="FFFFFF"/>
            <w:vAlign w:val="center"/>
          </w:tcPr>
          <w:p>
            <w:pPr>
              <w:widowControl/>
              <w:spacing w:line="360" w:lineRule="exact"/>
              <w:jc w:val="left"/>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3969" w:type="dxa"/>
            <w:tcBorders>
              <w:tl2br w:val="nil"/>
              <w:tr2bl w:val="nil"/>
            </w:tcBorders>
            <w:shd w:val="clear" w:color="000000" w:fill="FFFFFF"/>
            <w:vAlign w:val="center"/>
          </w:tcPr>
          <w:p>
            <w:pPr>
              <w:widowControl/>
              <w:spacing w:line="360" w:lineRule="exact"/>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辅助显示屏（</w:t>
            </w:r>
            <w:r>
              <w:rPr>
                <w:rFonts w:hint="eastAsia" w:ascii="宋体" w:hAnsi="宋体" w:cs="宋体"/>
                <w:color w:val="auto"/>
                <w:kern w:val="0"/>
                <w:sz w:val="22"/>
                <w:highlight w:val="none"/>
              </w:rPr>
              <w:t>电视机</w:t>
            </w:r>
            <w:r>
              <w:rPr>
                <w:rFonts w:hint="eastAsia" w:ascii="宋体" w:hAnsi="宋体" w:cs="宋体"/>
                <w:color w:val="auto"/>
                <w:kern w:val="0"/>
                <w:sz w:val="22"/>
                <w:highlight w:val="none"/>
                <w:lang w:val="en-US" w:eastAsia="zh-CN"/>
              </w:rPr>
              <w:t>）</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559" w:type="dxa"/>
            <w:tcBorders>
              <w:tl2br w:val="nil"/>
              <w:tr2bl w:val="nil"/>
            </w:tcBorders>
            <w:shd w:val="clear" w:color="000000" w:fill="FFFFFF"/>
            <w:vAlign w:val="center"/>
          </w:tcPr>
          <w:p>
            <w:pPr>
              <w:widowControl/>
              <w:spacing w:line="360" w:lineRule="exact"/>
              <w:jc w:val="left"/>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3969"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电动屏幕</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559" w:type="dxa"/>
            <w:tcBorders>
              <w:tl2br w:val="nil"/>
              <w:tr2bl w:val="nil"/>
            </w:tcBorders>
            <w:shd w:val="clear" w:color="000000" w:fill="FFFFFF"/>
            <w:vAlign w:val="center"/>
          </w:tcPr>
          <w:p>
            <w:pPr>
              <w:widowControl/>
              <w:spacing w:line="360" w:lineRule="exact"/>
              <w:jc w:val="left"/>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3969" w:type="dxa"/>
            <w:tcBorders>
              <w:tl2br w:val="nil"/>
              <w:tr2bl w:val="nil"/>
            </w:tcBorders>
            <w:shd w:val="clear" w:color="000000" w:fill="FFFFFF"/>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高清矩阵板卡</w:t>
            </w:r>
            <w:r>
              <w:rPr>
                <w:rFonts w:hint="eastAsia" w:ascii="宋体" w:hAnsi="宋体" w:cs="宋体"/>
                <w:color w:val="auto"/>
                <w:kern w:val="0"/>
                <w:sz w:val="22"/>
                <w:highlight w:val="none"/>
                <w:lang w:val="en-US" w:eastAsia="zh-CN"/>
              </w:rPr>
              <w:t>（4路HDMI输入）</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张</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559" w:type="dxa"/>
            <w:tcBorders>
              <w:tl2br w:val="nil"/>
              <w:tr2bl w:val="nil"/>
            </w:tcBorders>
            <w:shd w:val="clear" w:color="000000" w:fill="FFFFFF"/>
            <w:vAlign w:val="center"/>
          </w:tcPr>
          <w:p>
            <w:pPr>
              <w:widowControl/>
              <w:spacing w:line="360" w:lineRule="exact"/>
              <w:jc w:val="left"/>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3969" w:type="dxa"/>
            <w:tcBorders>
              <w:tl2br w:val="nil"/>
              <w:tr2bl w:val="nil"/>
            </w:tcBorders>
            <w:shd w:val="clear" w:color="000000" w:fill="FFFFFF"/>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搪瓷白板1</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0</w:t>
            </w:r>
          </w:p>
        </w:tc>
        <w:tc>
          <w:tcPr>
            <w:tcW w:w="1559" w:type="dxa"/>
            <w:tcBorders>
              <w:tl2br w:val="nil"/>
              <w:tr2bl w:val="nil"/>
            </w:tcBorders>
            <w:shd w:val="clear" w:color="000000" w:fill="FFFFFF"/>
            <w:vAlign w:val="center"/>
          </w:tcPr>
          <w:p>
            <w:pPr>
              <w:widowControl/>
              <w:spacing w:line="360" w:lineRule="exact"/>
              <w:jc w:val="left"/>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5"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r>
              <w:rPr>
                <w:rFonts w:ascii="宋体" w:hAnsi="宋体" w:cs="宋体"/>
                <w:color w:val="auto"/>
                <w:kern w:val="0"/>
                <w:sz w:val="22"/>
                <w:highlight w:val="none"/>
              </w:rPr>
              <w:t>4</w:t>
            </w:r>
          </w:p>
        </w:tc>
        <w:tc>
          <w:tcPr>
            <w:tcW w:w="3969" w:type="dxa"/>
            <w:tcBorders>
              <w:tl2br w:val="nil"/>
              <w:tr2bl w:val="nil"/>
            </w:tcBorders>
            <w:shd w:val="clear" w:color="000000" w:fill="FFFFFF"/>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搪瓷白板2</w:t>
            </w:r>
          </w:p>
        </w:tc>
        <w:tc>
          <w:tcPr>
            <w:tcW w:w="1276"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tcBorders>
              <w:tl2br w:val="nil"/>
              <w:tr2bl w:val="nil"/>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559" w:type="dxa"/>
            <w:tcBorders>
              <w:tl2br w:val="nil"/>
              <w:tr2bl w:val="nil"/>
            </w:tcBorders>
            <w:shd w:val="clear" w:color="000000" w:fill="FFFFFF"/>
            <w:vAlign w:val="center"/>
          </w:tcPr>
          <w:p>
            <w:pPr>
              <w:widowControl/>
              <w:spacing w:line="360" w:lineRule="exact"/>
              <w:jc w:val="left"/>
              <w:rPr>
                <w:rFonts w:ascii="宋体" w:hAnsi="宋体" w:cs="宋体"/>
                <w:color w:val="auto"/>
                <w:kern w:val="0"/>
                <w:sz w:val="22"/>
                <w:highlight w:val="none"/>
              </w:rPr>
            </w:pPr>
          </w:p>
        </w:tc>
      </w:tr>
      <w:bookmarkEnd w:id="11"/>
    </w:tbl>
    <w:p>
      <w:pPr>
        <w:pStyle w:val="78"/>
        <w:spacing w:line="360" w:lineRule="exact"/>
        <w:outlineLvl w:val="9"/>
        <w:rPr>
          <w:rFonts w:ascii="宋体" w:hAnsi="宋体" w:cs="宋体"/>
          <w:color w:val="auto"/>
          <w:sz w:val="22"/>
          <w:szCs w:val="22"/>
          <w:highlight w:val="none"/>
        </w:rPr>
      </w:pPr>
      <w:bookmarkStart w:id="12" w:name="_Toc367965903"/>
      <w:bookmarkStart w:id="13" w:name="_Toc299003633"/>
      <w:r>
        <w:rPr>
          <w:rFonts w:hint="eastAsia" w:ascii="宋体" w:hAnsi="宋体" w:cs="宋体"/>
          <w:color w:val="auto"/>
          <w:sz w:val="22"/>
          <w:szCs w:val="22"/>
          <w:highlight w:val="none"/>
        </w:rPr>
        <w:t>4.2温州理工学院2022年度智慧教室建设设备软件清单</w:t>
      </w:r>
    </w:p>
    <w:tbl>
      <w:tblPr>
        <w:tblStyle w:val="28"/>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964"/>
        <w:gridCol w:w="1276"/>
        <w:gridCol w:w="99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134"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964"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设备名称</w:t>
            </w:r>
          </w:p>
        </w:tc>
        <w:tc>
          <w:tcPr>
            <w:tcW w:w="1276"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单位</w:t>
            </w:r>
          </w:p>
        </w:tc>
        <w:tc>
          <w:tcPr>
            <w:tcW w:w="992"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数量</w:t>
            </w:r>
          </w:p>
        </w:tc>
        <w:tc>
          <w:tcPr>
            <w:tcW w:w="1596"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34"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964"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lang w:val="en-US" w:eastAsia="zh-CN"/>
              </w:rPr>
              <w:t>国产多媒体教室管理系统授权（</w:t>
            </w:r>
            <w:r>
              <w:rPr>
                <w:rFonts w:hint="eastAsia" w:ascii="宋体" w:hAnsi="宋体" w:cs="宋体"/>
                <w:color w:val="auto"/>
                <w:kern w:val="0"/>
                <w:sz w:val="22"/>
                <w:highlight w:val="none"/>
              </w:rPr>
              <w:t>嵌入式管理系统软件</w:t>
            </w:r>
            <w:r>
              <w:rPr>
                <w:rFonts w:hint="eastAsia" w:ascii="宋体" w:hAnsi="宋体" w:cs="宋体"/>
                <w:color w:val="auto"/>
                <w:kern w:val="0"/>
                <w:sz w:val="22"/>
                <w:highlight w:val="none"/>
                <w:lang w:val="en-US" w:eastAsia="zh-CN"/>
              </w:rPr>
              <w:t>）</w:t>
            </w:r>
          </w:p>
        </w:tc>
        <w:tc>
          <w:tcPr>
            <w:tcW w:w="1276"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vAlign w:val="center"/>
          </w:tcPr>
          <w:p>
            <w:pPr>
              <w:widowControl/>
              <w:spacing w:line="360" w:lineRule="exact"/>
              <w:jc w:val="center"/>
              <w:rPr>
                <w:rFonts w:ascii="宋体" w:hAnsi="宋体" w:cs="宋体"/>
                <w:color w:val="auto"/>
                <w:kern w:val="0"/>
                <w:sz w:val="22"/>
                <w:highlight w:val="none"/>
              </w:rPr>
            </w:pPr>
            <w:r>
              <w:rPr>
                <w:rFonts w:ascii="宋体" w:hAnsi="宋体" w:cs="宋体"/>
                <w:color w:val="auto"/>
                <w:kern w:val="0"/>
                <w:sz w:val="22"/>
                <w:highlight w:val="none"/>
              </w:rPr>
              <w:t>29</w:t>
            </w:r>
          </w:p>
        </w:tc>
        <w:tc>
          <w:tcPr>
            <w:tcW w:w="1596" w:type="dxa"/>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134"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964"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lang w:val="en-US" w:eastAsia="zh-CN"/>
              </w:rPr>
              <w:t>国产多媒体教室</w:t>
            </w:r>
            <w:r>
              <w:rPr>
                <w:rFonts w:hint="eastAsia" w:ascii="宋体" w:hAnsi="宋体" w:cs="宋体"/>
                <w:color w:val="auto"/>
                <w:kern w:val="0"/>
                <w:sz w:val="22"/>
                <w:highlight w:val="none"/>
              </w:rPr>
              <w:t>直录</w:t>
            </w:r>
            <w:r>
              <w:rPr>
                <w:rFonts w:hint="eastAsia" w:ascii="宋体" w:hAnsi="宋体" w:cs="宋体"/>
                <w:color w:val="auto"/>
                <w:kern w:val="0"/>
                <w:sz w:val="22"/>
                <w:highlight w:val="none"/>
                <w:lang w:val="en-US" w:eastAsia="zh-CN"/>
              </w:rPr>
              <w:t>播系统授权（</w:t>
            </w:r>
            <w:r>
              <w:rPr>
                <w:rFonts w:hint="eastAsia" w:ascii="宋体" w:hAnsi="宋体" w:cs="宋体"/>
                <w:color w:val="auto"/>
                <w:kern w:val="0"/>
                <w:sz w:val="22"/>
                <w:highlight w:val="none"/>
              </w:rPr>
              <w:t>直录播系统软件</w:t>
            </w:r>
            <w:r>
              <w:rPr>
                <w:rFonts w:hint="eastAsia" w:ascii="宋体" w:hAnsi="宋体" w:cs="宋体"/>
                <w:color w:val="auto"/>
                <w:kern w:val="0"/>
                <w:sz w:val="22"/>
                <w:highlight w:val="none"/>
                <w:lang w:val="en-US" w:eastAsia="zh-CN"/>
              </w:rPr>
              <w:t>）</w:t>
            </w:r>
          </w:p>
        </w:tc>
        <w:tc>
          <w:tcPr>
            <w:tcW w:w="1276"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套</w:t>
            </w:r>
          </w:p>
        </w:tc>
        <w:tc>
          <w:tcPr>
            <w:tcW w:w="992" w:type="dxa"/>
            <w:vAlign w:val="center"/>
          </w:tcPr>
          <w:p>
            <w:pPr>
              <w:widowControl/>
              <w:spacing w:line="360" w:lineRule="exact"/>
              <w:jc w:val="center"/>
              <w:rPr>
                <w:rFonts w:ascii="宋体" w:hAnsi="宋体" w:cs="宋体"/>
                <w:color w:val="auto"/>
                <w:kern w:val="0"/>
                <w:sz w:val="22"/>
                <w:highlight w:val="none"/>
              </w:rPr>
            </w:pPr>
            <w:r>
              <w:rPr>
                <w:rFonts w:ascii="宋体" w:hAnsi="宋体" w:cs="宋体"/>
                <w:color w:val="auto"/>
                <w:kern w:val="0"/>
                <w:sz w:val="22"/>
                <w:highlight w:val="none"/>
              </w:rPr>
              <w:t>20</w:t>
            </w:r>
          </w:p>
        </w:tc>
        <w:tc>
          <w:tcPr>
            <w:tcW w:w="1596" w:type="dxa"/>
            <w:vAlign w:val="center"/>
          </w:tcPr>
          <w:p>
            <w:pPr>
              <w:widowControl/>
              <w:spacing w:line="360" w:lineRule="exact"/>
              <w:jc w:val="center"/>
              <w:rPr>
                <w:rFonts w:ascii="宋体" w:hAnsi="宋体" w:cs="宋体"/>
                <w:color w:val="auto"/>
                <w:kern w:val="0"/>
                <w:sz w:val="22"/>
                <w:highlight w:val="none"/>
              </w:rPr>
            </w:pPr>
          </w:p>
        </w:tc>
      </w:tr>
    </w:tbl>
    <w:p>
      <w:pPr>
        <w:pStyle w:val="78"/>
        <w:spacing w:line="360" w:lineRule="exact"/>
        <w:outlineLvl w:val="9"/>
        <w:rPr>
          <w:rFonts w:ascii="宋体" w:hAnsi="宋体" w:cs="宋体"/>
          <w:color w:val="auto"/>
          <w:sz w:val="22"/>
          <w:szCs w:val="22"/>
          <w:highlight w:val="none"/>
        </w:rPr>
      </w:pPr>
      <w:r>
        <w:rPr>
          <w:rFonts w:hint="eastAsia" w:ascii="宋体" w:hAnsi="宋体" w:cs="宋体"/>
          <w:color w:val="auto"/>
          <w:sz w:val="22"/>
          <w:szCs w:val="22"/>
          <w:highlight w:val="none"/>
        </w:rPr>
        <w:t>4.3温州理工学院2022年度智慧教室建设课桌椅设备</w:t>
      </w:r>
    </w:p>
    <w:tbl>
      <w:tblPr>
        <w:tblStyle w:val="2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969"/>
        <w:gridCol w:w="1276"/>
        <w:gridCol w:w="9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129"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969"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设备名称</w:t>
            </w:r>
          </w:p>
        </w:tc>
        <w:tc>
          <w:tcPr>
            <w:tcW w:w="1276"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单位</w:t>
            </w:r>
          </w:p>
        </w:tc>
        <w:tc>
          <w:tcPr>
            <w:tcW w:w="992"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数量</w:t>
            </w:r>
          </w:p>
        </w:tc>
        <w:tc>
          <w:tcPr>
            <w:tcW w:w="1560"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9" w:type="dxa"/>
            <w:vAlign w:val="center"/>
          </w:tcPr>
          <w:p>
            <w:pPr>
              <w:pStyle w:val="56"/>
              <w:widowControl/>
              <w:spacing w:line="360" w:lineRule="exact"/>
              <w:ind w:firstLine="0" w:firstLineChars="0"/>
              <w:jc w:val="center"/>
              <w:rPr>
                <w:rFonts w:ascii="宋体" w:hAnsi="宋体" w:cs="宋体"/>
                <w:color w:val="auto"/>
                <w:kern w:val="0"/>
                <w:sz w:val="22"/>
                <w:highlight w:val="none"/>
              </w:rPr>
            </w:pPr>
            <w:r>
              <w:rPr>
                <w:rFonts w:hint="eastAsia" w:ascii="宋体" w:hAnsi="宋体" w:cs="宋体"/>
                <w:color w:val="auto"/>
                <w:sz w:val="22"/>
                <w:highlight w:val="none"/>
              </w:rPr>
              <w:t>1</w:t>
            </w:r>
          </w:p>
        </w:tc>
        <w:tc>
          <w:tcPr>
            <w:tcW w:w="3969"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学生课桌1</w:t>
            </w:r>
          </w:p>
        </w:tc>
        <w:tc>
          <w:tcPr>
            <w:tcW w:w="1276"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张</w:t>
            </w:r>
          </w:p>
        </w:tc>
        <w:tc>
          <w:tcPr>
            <w:tcW w:w="992" w:type="dxa"/>
            <w:vAlign w:val="center"/>
          </w:tcPr>
          <w:p>
            <w:pPr>
              <w:widowControl/>
              <w:spacing w:line="360" w:lineRule="exact"/>
              <w:jc w:val="center"/>
              <w:rPr>
                <w:rFonts w:ascii="宋体" w:hAnsi="宋体" w:cs="宋体"/>
                <w:color w:val="auto"/>
                <w:kern w:val="0"/>
                <w:sz w:val="22"/>
                <w:highlight w:val="none"/>
              </w:rPr>
            </w:pPr>
            <w:r>
              <w:rPr>
                <w:rFonts w:ascii="宋体" w:hAnsi="宋体" w:cs="宋体"/>
                <w:color w:val="auto"/>
                <w:kern w:val="0"/>
                <w:sz w:val="22"/>
                <w:highlight w:val="none"/>
              </w:rPr>
              <w:t>170</w:t>
            </w:r>
          </w:p>
        </w:tc>
        <w:tc>
          <w:tcPr>
            <w:tcW w:w="1560" w:type="dxa"/>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129" w:type="dxa"/>
            <w:vAlign w:val="center"/>
          </w:tcPr>
          <w:p>
            <w:pPr>
              <w:pStyle w:val="56"/>
              <w:widowControl/>
              <w:spacing w:line="360" w:lineRule="exact"/>
              <w:ind w:firstLine="0" w:firstLineChars="0"/>
              <w:jc w:val="center"/>
              <w:rPr>
                <w:rFonts w:ascii="宋体" w:hAnsi="宋体" w:cs="宋体"/>
                <w:color w:val="auto"/>
                <w:sz w:val="22"/>
                <w:highlight w:val="none"/>
              </w:rPr>
            </w:pPr>
            <w:r>
              <w:rPr>
                <w:rFonts w:ascii="宋体" w:hAnsi="宋体" w:cs="宋体"/>
                <w:color w:val="auto"/>
                <w:sz w:val="22"/>
                <w:highlight w:val="none"/>
              </w:rPr>
              <w:t>2</w:t>
            </w:r>
          </w:p>
        </w:tc>
        <w:tc>
          <w:tcPr>
            <w:tcW w:w="3969" w:type="dxa"/>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学生课桌</w:t>
            </w:r>
            <w:r>
              <w:rPr>
                <w:rFonts w:ascii="宋体" w:hAnsi="宋体" w:cs="宋体"/>
                <w:color w:val="auto"/>
                <w:sz w:val="22"/>
                <w:highlight w:val="none"/>
              </w:rPr>
              <w:t>2</w:t>
            </w:r>
          </w:p>
        </w:tc>
        <w:tc>
          <w:tcPr>
            <w:tcW w:w="1276"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张</w:t>
            </w:r>
          </w:p>
        </w:tc>
        <w:tc>
          <w:tcPr>
            <w:tcW w:w="992"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r>
              <w:rPr>
                <w:rFonts w:ascii="宋体" w:hAnsi="宋体" w:cs="宋体"/>
                <w:color w:val="auto"/>
                <w:kern w:val="0"/>
                <w:sz w:val="22"/>
                <w:highlight w:val="none"/>
              </w:rPr>
              <w:t>30</w:t>
            </w:r>
          </w:p>
        </w:tc>
        <w:tc>
          <w:tcPr>
            <w:tcW w:w="1560" w:type="dxa"/>
            <w:vAlign w:val="center"/>
          </w:tcPr>
          <w:p>
            <w:pPr>
              <w:widowControl/>
              <w:spacing w:line="360" w:lineRule="exact"/>
              <w:jc w:val="center"/>
              <w:rPr>
                <w:rFonts w:ascii="宋体" w:hAnsi="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1129" w:type="dxa"/>
            <w:vAlign w:val="center"/>
          </w:tcPr>
          <w:p>
            <w:pPr>
              <w:pStyle w:val="56"/>
              <w:widowControl/>
              <w:spacing w:line="360" w:lineRule="exact"/>
              <w:ind w:firstLine="0" w:firstLineChars="0"/>
              <w:jc w:val="center"/>
              <w:rPr>
                <w:rFonts w:ascii="宋体" w:hAnsi="宋体" w:cs="宋体"/>
                <w:color w:val="auto"/>
                <w:sz w:val="22"/>
                <w:highlight w:val="none"/>
              </w:rPr>
            </w:pPr>
            <w:r>
              <w:rPr>
                <w:rFonts w:ascii="宋体" w:hAnsi="宋体" w:cs="宋体"/>
                <w:color w:val="auto"/>
                <w:sz w:val="22"/>
                <w:highlight w:val="none"/>
              </w:rPr>
              <w:t>3</w:t>
            </w:r>
          </w:p>
        </w:tc>
        <w:tc>
          <w:tcPr>
            <w:tcW w:w="3969" w:type="dxa"/>
            <w:vAlign w:val="center"/>
          </w:tcPr>
          <w:p>
            <w:pPr>
              <w:widowControl/>
              <w:spacing w:line="360" w:lineRule="exact"/>
              <w:jc w:val="center"/>
              <w:rPr>
                <w:rFonts w:ascii="宋体" w:hAnsi="宋体" w:cs="宋体"/>
                <w:color w:val="auto"/>
                <w:sz w:val="22"/>
                <w:highlight w:val="none"/>
              </w:rPr>
            </w:pPr>
            <w:r>
              <w:rPr>
                <w:rFonts w:hint="eastAsia" w:ascii="宋体" w:hAnsi="宋体" w:cs="宋体"/>
                <w:color w:val="auto"/>
                <w:sz w:val="22"/>
                <w:highlight w:val="none"/>
              </w:rPr>
              <w:t>学生座椅</w:t>
            </w:r>
          </w:p>
        </w:tc>
        <w:tc>
          <w:tcPr>
            <w:tcW w:w="1276"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张</w:t>
            </w:r>
          </w:p>
        </w:tc>
        <w:tc>
          <w:tcPr>
            <w:tcW w:w="992" w:type="dxa"/>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r>
              <w:rPr>
                <w:rFonts w:ascii="宋体" w:hAnsi="宋体" w:cs="宋体"/>
                <w:color w:val="auto"/>
                <w:kern w:val="0"/>
                <w:sz w:val="22"/>
                <w:highlight w:val="none"/>
              </w:rPr>
              <w:t>170</w:t>
            </w:r>
          </w:p>
        </w:tc>
        <w:tc>
          <w:tcPr>
            <w:tcW w:w="1560" w:type="dxa"/>
            <w:vAlign w:val="center"/>
          </w:tcPr>
          <w:p>
            <w:pPr>
              <w:widowControl/>
              <w:spacing w:line="360" w:lineRule="exact"/>
              <w:jc w:val="center"/>
              <w:rPr>
                <w:rFonts w:ascii="宋体" w:hAnsi="宋体" w:cs="宋体"/>
                <w:color w:val="auto"/>
                <w:kern w:val="0"/>
                <w:sz w:val="22"/>
                <w:highlight w:val="none"/>
              </w:rPr>
            </w:pPr>
          </w:p>
        </w:tc>
      </w:tr>
    </w:tbl>
    <w:p>
      <w:pPr>
        <w:pStyle w:val="78"/>
        <w:spacing w:line="360" w:lineRule="exact"/>
        <w:outlineLvl w:val="9"/>
        <w:rPr>
          <w:rFonts w:ascii="宋体" w:hAnsi="宋体" w:cs="宋体"/>
          <w:color w:val="auto"/>
          <w:sz w:val="22"/>
          <w:szCs w:val="22"/>
          <w:highlight w:val="none"/>
        </w:rPr>
      </w:pPr>
      <w:r>
        <w:rPr>
          <w:rFonts w:hint="eastAsia" w:ascii="宋体" w:hAnsi="宋体" w:cs="宋体"/>
          <w:color w:val="auto"/>
          <w:sz w:val="22"/>
          <w:szCs w:val="22"/>
          <w:highlight w:val="none"/>
        </w:rPr>
        <w:t>4.4</w:t>
      </w:r>
      <w:bookmarkEnd w:id="12"/>
      <w:bookmarkEnd w:id="13"/>
      <w:r>
        <w:rPr>
          <w:rFonts w:hint="eastAsia" w:ascii="宋体" w:hAnsi="宋体" w:cs="宋体"/>
          <w:color w:val="auto"/>
          <w:sz w:val="22"/>
          <w:szCs w:val="22"/>
          <w:highlight w:val="none"/>
        </w:rPr>
        <w:t>温州理工学院2022年度智慧教室建设教学设备、温州理工学院2022年度智慧教室建设设备软件、温州理工学院2022年度智慧教室建设课桌椅设备参数</w:t>
      </w:r>
    </w:p>
    <w:p>
      <w:pPr>
        <w:spacing w:line="360" w:lineRule="exact"/>
        <w:ind w:firstLine="389" w:firstLineChars="177"/>
        <w:rPr>
          <w:rFonts w:ascii="宋体" w:hAnsi="宋体" w:cs="宋体"/>
          <w:color w:val="auto"/>
          <w:sz w:val="22"/>
          <w:highlight w:val="none"/>
        </w:rPr>
      </w:pPr>
      <w:r>
        <w:rPr>
          <w:rFonts w:hint="eastAsia" w:ascii="宋体" w:hAnsi="宋体" w:cs="宋体"/>
          <w:color w:val="auto"/>
          <w:sz w:val="22"/>
          <w:highlight w:val="none"/>
        </w:rPr>
        <w:t>以下为学校整体系统设备配置技术参数，各投标人可以根据实际情况配置，整体设备数量及性能配置不能低于（可以高于）以下配置要求，具体设备参数要求见下表。</w:t>
      </w:r>
    </w:p>
    <w:tbl>
      <w:tblPr>
        <w:tblStyle w:val="28"/>
        <w:tblW w:w="9720" w:type="dxa"/>
        <w:jc w:val="center"/>
        <w:tblLayout w:type="autofit"/>
        <w:tblCellMar>
          <w:top w:w="0" w:type="dxa"/>
          <w:left w:w="108" w:type="dxa"/>
          <w:bottom w:w="0" w:type="dxa"/>
          <w:right w:w="108" w:type="dxa"/>
        </w:tblCellMar>
      </w:tblPr>
      <w:tblGrid>
        <w:gridCol w:w="723"/>
        <w:gridCol w:w="1133"/>
        <w:gridCol w:w="7130"/>
        <w:gridCol w:w="734"/>
      </w:tblGrid>
      <w:tr>
        <w:tblPrEx>
          <w:tblCellMar>
            <w:top w:w="0" w:type="dxa"/>
            <w:left w:w="108" w:type="dxa"/>
            <w:bottom w:w="0" w:type="dxa"/>
            <w:right w:w="108" w:type="dxa"/>
          </w:tblCellMar>
        </w:tblPrEx>
        <w:trPr>
          <w:trHeight w:val="260"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设备名称</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技术参数</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备注</w:t>
            </w:r>
          </w:p>
        </w:tc>
      </w:tr>
      <w:tr>
        <w:tblPrEx>
          <w:tblCellMar>
            <w:top w:w="0" w:type="dxa"/>
            <w:left w:w="108" w:type="dxa"/>
            <w:bottom w:w="0" w:type="dxa"/>
            <w:right w:w="108" w:type="dxa"/>
          </w:tblCellMar>
        </w:tblPrEx>
        <w:trPr>
          <w:trHeight w:val="260" w:hRule="atLeast"/>
          <w:jc w:val="center"/>
        </w:trPr>
        <w:tc>
          <w:tcPr>
            <w:tcW w:w="972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一、教学设备清单</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bookmarkStart w:id="14" w:name="_Hlk106661191"/>
            <w:r>
              <w:rPr>
                <w:rFonts w:hint="eastAsia" w:ascii="宋体" w:hAnsi="宋体" w:cs="宋体"/>
                <w:color w:val="auto"/>
                <w:kern w:val="0"/>
                <w:sz w:val="22"/>
                <w:highlight w:val="none"/>
              </w:rPr>
              <w:t>1</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多媒体教室主机1</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一、整体要求：</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1、多功能的智能化设备，包含常态化教学的业务：多点触摸控制屏、智能高清、直播录播、远程互动教学、音频处理、多媒体控制、功放、千兆交换机、无线投屏、吊麦扩音等等。</w:t>
            </w:r>
          </w:p>
          <w:p>
            <w:pPr>
              <w:widowControl/>
              <w:spacing w:line="360" w:lineRule="exact"/>
              <w:jc w:val="left"/>
              <w:rPr>
                <w:rFonts w:ascii="宋体" w:hAnsi="宋体" w:cs="宋体"/>
                <w:color w:val="auto"/>
                <w:kern w:val="0"/>
                <w:sz w:val="22"/>
                <w:highlight w:val="none"/>
                <w:u w:val="single"/>
              </w:rPr>
            </w:pPr>
            <w:r>
              <w:rPr>
                <w:rFonts w:hint="eastAsia" w:ascii="宋体" w:hAnsi="宋体" w:cs="宋体"/>
                <w:color w:val="auto"/>
                <w:kern w:val="0"/>
                <w:sz w:val="22"/>
                <w:highlight w:val="none"/>
              </w:rPr>
              <w:t>2、</w:t>
            </w:r>
            <w:r>
              <w:rPr>
                <w:rFonts w:hint="eastAsia" w:ascii="宋体" w:hAnsi="宋体" w:cs="宋体"/>
                <w:color w:val="auto"/>
                <w:kern w:val="0"/>
                <w:sz w:val="22"/>
                <w:highlight w:val="none"/>
                <w:u w:val="single"/>
              </w:rPr>
              <w:t>▲要求设备具有高度融合性，设备可以是由一台主机设备和一块触摸屏二个设备组成也可以是一个设备（主机和触摸屏一体化）。</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二、主机数据接口要求：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1、电源管理：1路总电源输入AC 220V 50/60Hz，3路AC 220V 50/60Hz电源输出。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2、★大于4路网络千兆POE交换机模块（支持路由），支持10/100/1000Mps自适应2路外网口及3路内网口；</w:t>
            </w:r>
            <w:r>
              <w:rPr>
                <w:rFonts w:hint="eastAsia" w:ascii="宋体" w:hAnsi="宋体" w:cs="宋体"/>
                <w:b/>
                <w:bCs/>
                <w:color w:val="auto"/>
                <w:kern w:val="0"/>
                <w:sz w:val="22"/>
                <w:highlight w:val="none"/>
              </w:rPr>
              <w:t>商务和技术文件中提供国家认可机构出具的检测报告，否则视为负偏离</w:t>
            </w:r>
            <w:r>
              <w:rPr>
                <w:rFonts w:hint="eastAsia" w:ascii="宋体" w:hAnsi="宋体" w:cs="宋体"/>
                <w:color w:val="auto"/>
                <w:kern w:val="0"/>
                <w:sz w:val="22"/>
                <w:highlight w:val="none"/>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 大屏触控：触控接口不少于2路，和外接大屏的触摸连接进行消息通信。</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4、支持≥3路RS232串口控制，实现对教室内其他设备的控制。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5、视频输入输出：HDMI in≥3路，HDMI out≥3路</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6、音频输入输出：3.5mm音频接口，line in≥2路,AUDIO out≥1路；</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三、触摸显示屏要求：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1、显示屏尺寸：≥2</w:t>
            </w:r>
            <w:r>
              <w:rPr>
                <w:rFonts w:ascii="宋体" w:hAnsi="宋体" w:cs="宋体"/>
                <w:color w:val="auto"/>
                <w:kern w:val="0"/>
                <w:sz w:val="22"/>
                <w:highlight w:val="none"/>
              </w:rPr>
              <w:t>1</w:t>
            </w:r>
            <w:r>
              <w:rPr>
                <w:rFonts w:hint="eastAsia" w:ascii="宋体" w:hAnsi="宋体" w:cs="宋体"/>
                <w:color w:val="auto"/>
                <w:kern w:val="0"/>
                <w:sz w:val="22"/>
                <w:highlight w:val="none"/>
              </w:rPr>
              <w:t>寸（高灵敏度十点触控屏）；</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2、分辨率：</w:t>
            </w:r>
            <w:r>
              <w:rPr>
                <w:rFonts w:hint="eastAsia" w:ascii="宋体" w:hAnsi="宋体" w:cs="宋体"/>
                <w:color w:val="auto"/>
                <w:sz w:val="22"/>
                <w:highlight w:val="none"/>
              </w:rPr>
              <w:t>≥1920*1080；</w:t>
            </w:r>
          </w:p>
          <w:p>
            <w:pPr>
              <w:widowControl/>
              <w:spacing w:line="360" w:lineRule="exact"/>
              <w:jc w:val="left"/>
              <w:rPr>
                <w:rFonts w:ascii="宋体" w:hAnsi="宋体" w:cs="宋体"/>
                <w:color w:val="auto"/>
                <w:kern w:val="0"/>
                <w:sz w:val="22"/>
                <w:highlight w:val="none"/>
              </w:rPr>
            </w:pPr>
            <w:r>
              <w:rPr>
                <w:rFonts w:ascii="宋体" w:hAnsi="宋体" w:cs="宋体"/>
                <w:color w:val="auto"/>
                <w:kern w:val="0"/>
                <w:sz w:val="22"/>
                <w:highlight w:val="none"/>
              </w:rPr>
              <w:t>3</w:t>
            </w:r>
            <w:r>
              <w:rPr>
                <w:rFonts w:hint="eastAsia" w:ascii="宋体" w:hAnsi="宋体" w:cs="宋体"/>
                <w:color w:val="auto"/>
                <w:kern w:val="0"/>
                <w:sz w:val="22"/>
                <w:highlight w:val="none"/>
              </w:rPr>
              <w:t>、点距不小于0.2715mm；色数不低于16.7M；亮度不小于250cd/㎡；</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4、电源类型：外接电源适配器；</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5、USB扩展/充电：3个；音频/耳机输出1个；HDMI接口2个；VGA1个。</w:t>
            </w:r>
          </w:p>
          <w:p>
            <w:pPr>
              <w:widowControl/>
              <w:spacing w:line="360" w:lineRule="exact"/>
              <w:jc w:val="left"/>
              <w:rPr>
                <w:rFonts w:ascii="宋体" w:hAnsi="宋体" w:cs="宋体"/>
                <w:color w:val="auto"/>
                <w:kern w:val="0"/>
                <w:sz w:val="22"/>
                <w:highlight w:val="none"/>
              </w:rPr>
            </w:pPr>
            <w:r>
              <w:rPr>
                <w:rFonts w:hint="eastAsia" w:ascii="宋体" w:hAnsi="宋体" w:cs="宋体"/>
                <w:color w:val="auto"/>
                <w:sz w:val="22"/>
                <w:highlight w:val="none"/>
              </w:rPr>
              <w:t>6、内嵌在讲台内，即可作为功能操作屏，又可作为课件电脑显示器使用（不再另外配置课件电脑显示器设备）；</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四、音频处理要求：</w:t>
            </w:r>
          </w:p>
          <w:p>
            <w:pPr>
              <w:pStyle w:val="2"/>
              <w:tabs>
                <w:tab w:val="right" w:leader="dot" w:pos="8302"/>
                <w:tab w:val="clear" w:pos="8931"/>
              </w:tabs>
              <w:spacing w:line="360" w:lineRule="exact"/>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1、采用将扩声、拾音混音、回声抑制等融于于一体的结构设计。</w:t>
            </w:r>
          </w:p>
          <w:p>
            <w:pPr>
              <w:pStyle w:val="2"/>
              <w:tabs>
                <w:tab w:val="right" w:leader="dot" w:pos="8302"/>
                <w:tab w:val="clear" w:pos="8931"/>
              </w:tabs>
              <w:spacing w:line="360" w:lineRule="exact"/>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2、高解析音质∶高精度音频采样，提供可调节EQ和温响抑制算法，多个维度提供清晰声音。</w:t>
            </w:r>
          </w:p>
          <w:p>
            <w:pPr>
              <w:pStyle w:val="2"/>
              <w:tabs>
                <w:tab w:val="right" w:leader="dot" w:pos="8302"/>
                <w:tab w:val="clear" w:pos="8931"/>
              </w:tabs>
              <w:spacing w:line="360" w:lineRule="exact"/>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bCs/>
                <w:color w:val="auto"/>
                <w:kern w:val="0"/>
                <w:sz w:val="22"/>
                <w:szCs w:val="22"/>
                <w:highlight w:val="none"/>
              </w:rPr>
              <w:t>高精度调控，内置回声抑制、自动增益、噪声抑制、反馈消除等功能；</w:t>
            </w:r>
            <w:r>
              <w:rPr>
                <w:rFonts w:hint="eastAsia" w:ascii="宋体" w:hAnsi="宋体" w:eastAsia="宋体" w:cs="宋体"/>
                <w:b/>
                <w:color w:val="auto"/>
                <w:kern w:val="0"/>
                <w:sz w:val="22"/>
                <w:szCs w:val="22"/>
                <w:highlight w:val="none"/>
              </w:rPr>
              <w:t>商务和技术文件中提供国家认可机构出具的检测报告，否则视为负偏离</w:t>
            </w:r>
            <w:r>
              <w:rPr>
                <w:rFonts w:hint="eastAsia" w:ascii="宋体" w:hAnsi="宋体" w:eastAsia="宋体" w:cs="宋体"/>
                <w:bCs/>
                <w:color w:val="auto"/>
                <w:kern w:val="0"/>
                <w:sz w:val="22"/>
                <w:szCs w:val="22"/>
                <w:highlight w:val="none"/>
              </w:rPr>
              <w:t>；</w:t>
            </w:r>
          </w:p>
          <w:p>
            <w:pPr>
              <w:pStyle w:val="2"/>
              <w:tabs>
                <w:tab w:val="right" w:leader="dot" w:pos="8302"/>
                <w:tab w:val="clear" w:pos="8931"/>
              </w:tabs>
              <w:spacing w:line="360" w:lineRule="exact"/>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w:t>
            </w:r>
            <w:r>
              <w:rPr>
                <w:rFonts w:hint="eastAsia" w:ascii="宋体" w:hAnsi="宋体" w:eastAsia="宋体" w:cs="宋体"/>
                <w:color w:val="auto"/>
                <w:kern w:val="0"/>
                <w:sz w:val="22"/>
                <w:szCs w:val="22"/>
                <w:highlight w:val="none"/>
              </w:rPr>
              <w:t>★</w:t>
            </w:r>
            <w:r>
              <w:rPr>
                <w:rFonts w:hint="eastAsia" w:ascii="宋体" w:hAnsi="宋体" w:eastAsia="宋体" w:cs="宋体"/>
                <w:bCs/>
                <w:color w:val="auto"/>
                <w:kern w:val="0"/>
                <w:sz w:val="22"/>
                <w:szCs w:val="22"/>
                <w:highlight w:val="none"/>
              </w:rPr>
              <w:t>内置独立供电的2*100W功放；</w:t>
            </w:r>
            <w:r>
              <w:rPr>
                <w:rFonts w:hint="eastAsia" w:ascii="宋体" w:hAnsi="宋体" w:eastAsia="宋体" w:cs="宋体"/>
                <w:b/>
                <w:color w:val="auto"/>
                <w:kern w:val="0"/>
                <w:sz w:val="22"/>
                <w:szCs w:val="22"/>
                <w:highlight w:val="none"/>
              </w:rPr>
              <w:t>商务和技术文件中提供国家认可机构出具的检测报告，否则视为负偏离</w:t>
            </w:r>
            <w:r>
              <w:rPr>
                <w:rFonts w:hint="eastAsia" w:ascii="宋体" w:hAnsi="宋体" w:eastAsia="宋体" w:cs="宋体"/>
                <w:bCs/>
                <w:color w:val="auto"/>
                <w:kern w:val="0"/>
                <w:sz w:val="22"/>
                <w:szCs w:val="22"/>
                <w:highlight w:val="none"/>
              </w:rPr>
              <w:t>；</w:t>
            </w:r>
          </w:p>
          <w:p>
            <w:pPr>
              <w:pStyle w:val="2"/>
              <w:tabs>
                <w:tab w:val="right" w:leader="dot" w:pos="8302"/>
                <w:tab w:val="clear" w:pos="8931"/>
              </w:tabs>
              <w:spacing w:line="360" w:lineRule="exact"/>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5、高集成度，支持网络接口音频输出和网络调试。</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五、功能要求：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1、多媒体控制：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 支持多种方式登录设备主机，包括：用户名加密码、IC刷卡和人脸识别等方式；</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2）具备对教室内显示设备如投影及幕布、大屏、多块大屏组合的电源供电和电源管理，可实现对投影幕布的升降控制。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 具备对教室内外设的接入和管控，如功放、台式机、无线麦等外设的接入及控制。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 具备远程开关机、状态显示与查询等控制，支持远程批量开关机控制。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5) 支持硬件方式实现电子白板功能进行课堂板书；在圈点或批注状态下课进行颜色设置；更换教学电脑或老师笔记本电脑授课时，无需安装任何软件即可使用上述功能；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6）★支持通过自定义时间的方式，实现远程设备批量升级，支持升级信息推送功能；</w:t>
            </w:r>
            <w:r>
              <w:rPr>
                <w:rFonts w:hint="eastAsia" w:ascii="宋体" w:hAnsi="宋体" w:cs="宋体"/>
                <w:b/>
                <w:bCs/>
                <w:color w:val="auto"/>
                <w:kern w:val="0"/>
                <w:sz w:val="22"/>
                <w:highlight w:val="none"/>
              </w:rPr>
              <w:t>商务和技术文件中提供国家认可机构出具的检测报告，否则视为负偏离</w:t>
            </w:r>
            <w:r>
              <w:rPr>
                <w:rFonts w:hint="eastAsia" w:ascii="宋体" w:hAnsi="宋体" w:cs="宋体"/>
                <w:color w:val="auto"/>
                <w:kern w:val="0"/>
                <w:sz w:val="22"/>
                <w:highlight w:val="none"/>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2、多屏异显：</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 ★支持双板教学功能，通过双板教学功能按键可实现对直接接入主机的3台显示设备进行控制，多台显示设备画面可同步、先后联动、拼接显示展示内容；</w:t>
            </w:r>
            <w:r>
              <w:rPr>
                <w:rFonts w:hint="eastAsia" w:ascii="宋体" w:hAnsi="宋体" w:cs="宋体"/>
                <w:b/>
                <w:bCs/>
                <w:color w:val="auto"/>
                <w:kern w:val="0"/>
                <w:sz w:val="22"/>
                <w:highlight w:val="none"/>
              </w:rPr>
              <w:t>商务和技术文件中提供国家认可机构出具的检测报告，否则视为负偏离</w:t>
            </w:r>
            <w:r>
              <w:rPr>
                <w:rFonts w:hint="eastAsia" w:ascii="宋体" w:hAnsi="宋体" w:cs="宋体"/>
                <w:color w:val="auto"/>
                <w:kern w:val="0"/>
                <w:sz w:val="22"/>
                <w:highlight w:val="none"/>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 在没有触控显示器的情况下，主机支持普通电脑显示器接入,支持鼠标操作。</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3) 为便于课件显示及操作，要求触摸显示屏即可作为操作屏使用又可以作为课件电脑显示器使用；教师通过对触摸显示屏触控滑动进行切换；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 教室配备多个显示屏的情况下，教师可以一键实现ppt联动翻页、复制呈现、ppt与板书同时呈现、ppt与课堂互动等等多种教学内容呈现。</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3、远程互动要求：</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1）★支持多方互动教学、远程视频会议功能，兼容国际标准 H.323/SIP 协议，支持 H.239 双流协议，互动方的视频画面和电脑画面可同步接入和输出；</w:t>
            </w:r>
            <w:r>
              <w:rPr>
                <w:rFonts w:hint="eastAsia" w:ascii="宋体" w:hAnsi="宋体" w:cs="宋体"/>
                <w:b/>
                <w:bCs/>
                <w:color w:val="auto"/>
                <w:kern w:val="0"/>
                <w:sz w:val="22"/>
                <w:highlight w:val="none"/>
              </w:rPr>
              <w:t>商务和技术文件中提供国家认可机构出具的检测报告，否则视为负偏离</w:t>
            </w:r>
            <w:r>
              <w:rPr>
                <w:rFonts w:hint="eastAsia" w:ascii="宋体" w:hAnsi="宋体" w:cs="宋体"/>
                <w:color w:val="auto"/>
                <w:kern w:val="0"/>
                <w:sz w:val="22"/>
                <w:highlight w:val="none"/>
              </w:rPr>
              <w:t>；</w:t>
            </w:r>
          </w:p>
          <w:p>
            <w:pPr>
              <w:pStyle w:val="56"/>
              <w:widowControl/>
              <w:numPr>
                <w:ilvl w:val="0"/>
                <w:numId w:val="9"/>
              </w:numPr>
              <w:spacing w:line="360" w:lineRule="exact"/>
              <w:ind w:left="0" w:firstLineChars="0"/>
              <w:jc w:val="left"/>
              <w:rPr>
                <w:rFonts w:ascii="宋体" w:hAnsi="宋体" w:cs="宋体"/>
                <w:color w:val="auto"/>
                <w:kern w:val="0"/>
                <w:sz w:val="22"/>
                <w:highlight w:val="none"/>
              </w:rPr>
            </w:pPr>
            <w:r>
              <w:rPr>
                <w:rFonts w:hint="eastAsia" w:ascii="宋体" w:hAnsi="宋体" w:cs="宋体"/>
                <w:color w:val="auto"/>
                <w:kern w:val="0"/>
                <w:sz w:val="22"/>
                <w:highlight w:val="none"/>
              </w:rPr>
              <w:t>2）支持腾讯视频常用视频会议系统。</w:t>
            </w:r>
          </w:p>
          <w:p>
            <w:pPr>
              <w:pStyle w:val="56"/>
              <w:widowControl/>
              <w:numPr>
                <w:ilvl w:val="0"/>
                <w:numId w:val="9"/>
              </w:numPr>
              <w:spacing w:line="360" w:lineRule="exact"/>
              <w:ind w:left="0" w:firstLineChars="0"/>
              <w:jc w:val="left"/>
              <w:rPr>
                <w:rFonts w:ascii="宋体" w:hAnsi="宋体" w:cs="宋体"/>
                <w:color w:val="auto"/>
                <w:kern w:val="0"/>
                <w:sz w:val="22"/>
                <w:highlight w:val="none"/>
              </w:rPr>
            </w:pPr>
            <w:r>
              <w:rPr>
                <w:rFonts w:hint="eastAsia" w:ascii="宋体" w:hAnsi="宋体" w:cs="宋体"/>
                <w:color w:val="auto"/>
                <w:kern w:val="0"/>
                <w:sz w:val="22"/>
                <w:highlight w:val="none"/>
              </w:rPr>
              <w:t>3）支持会议画面锁定，支持VGA锁定，发言人画面锁定等等。</w:t>
            </w:r>
          </w:p>
          <w:p>
            <w:pPr>
              <w:pStyle w:val="56"/>
              <w:widowControl/>
              <w:numPr>
                <w:ilvl w:val="0"/>
                <w:numId w:val="9"/>
              </w:numPr>
              <w:ind w:left="0" w:firstLineChars="0"/>
              <w:jc w:val="left"/>
              <w:rPr>
                <w:rFonts w:ascii="宋体" w:hAnsi="宋体" w:cs="宋体"/>
                <w:color w:val="auto"/>
                <w:kern w:val="0"/>
                <w:sz w:val="22"/>
                <w:highlight w:val="none"/>
              </w:rPr>
            </w:pPr>
            <w:r>
              <w:rPr>
                <w:rFonts w:hint="eastAsia" w:ascii="宋体" w:hAnsi="宋体" w:cs="宋体"/>
                <w:color w:val="auto"/>
                <w:kern w:val="0"/>
                <w:sz w:val="22"/>
                <w:highlight w:val="none"/>
              </w:rPr>
              <w:t>4、直录播功能要求：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1）★音频支持 4路以上麦克风信号的接入能力，每路均支持独立的 48V 幻象供电，1 路线性输入、1 路线性输出；</w:t>
            </w:r>
            <w:r>
              <w:rPr>
                <w:rFonts w:hint="eastAsia" w:ascii="宋体" w:hAnsi="宋体" w:cs="宋体"/>
                <w:b/>
                <w:bCs/>
                <w:color w:val="auto"/>
                <w:kern w:val="0"/>
                <w:sz w:val="22"/>
                <w:highlight w:val="none"/>
              </w:rPr>
              <w:t>商务和技术文件中提供国家认可机构出具的检测报告，否则视为负偏离</w:t>
            </w:r>
            <w:r>
              <w:rPr>
                <w:rFonts w:hint="eastAsia" w:ascii="宋体" w:hAnsi="宋体" w:cs="宋体"/>
                <w:color w:val="auto"/>
                <w:kern w:val="0"/>
                <w:sz w:val="22"/>
                <w:highlight w:val="none"/>
              </w:rPr>
              <w:t>；</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2）在系统操作界面应具备录播功能的开始、暂定、结束等功能操作；</w:t>
            </w:r>
          </w:p>
          <w:p>
            <w:pPr>
              <w:widowControl/>
              <w:jc w:val="left"/>
              <w:rPr>
                <w:rFonts w:ascii="宋体" w:hAnsi="宋体" w:cs="宋体"/>
                <w:color w:val="auto"/>
                <w:kern w:val="0"/>
                <w:sz w:val="24"/>
                <w:szCs w:val="24"/>
                <w:highlight w:val="none"/>
              </w:rPr>
            </w:pPr>
            <w:r>
              <w:rPr>
                <w:rFonts w:ascii="宋体" w:hAnsi="宋体" w:cs="宋体"/>
                <w:color w:val="auto"/>
                <w:kern w:val="0"/>
                <w:sz w:val="22"/>
                <w:highlight w:val="none"/>
              </w:rPr>
              <w:t>3</w:t>
            </w:r>
            <w:r>
              <w:rPr>
                <w:rFonts w:hint="eastAsia" w:ascii="宋体" w:hAnsi="宋体" w:cs="宋体"/>
                <w:color w:val="auto"/>
                <w:kern w:val="0"/>
                <w:sz w:val="22"/>
                <w:highlight w:val="none"/>
              </w:rPr>
              <w:t>）系统能推流到一期建设的直播平台中进行课堂直播</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六、其他要求：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1、本设备必需与学校一期采购的融合管控平台和资源管理平台实现对接使用。实现对本设备的远程便捷管理，远程控制设备开关、教室使用状态 查询、预约管理、信息发布、统计分析等功能。</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bookmarkEnd w:id="14"/>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多媒体教室主机2</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一、整体要求：</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1、多功能的智能化设备，各个功能模块包括多媒体控制、多视窗操作、多屏异显、音频处理、模拟功放等等；</w:t>
            </w:r>
          </w:p>
          <w:p>
            <w:pPr>
              <w:widowControl/>
              <w:spacing w:line="360" w:lineRule="exact"/>
              <w:jc w:val="left"/>
              <w:rPr>
                <w:rFonts w:ascii="宋体" w:hAnsi="宋体" w:cs="宋体"/>
                <w:color w:val="auto"/>
                <w:kern w:val="0"/>
                <w:sz w:val="22"/>
                <w:highlight w:val="none"/>
                <w:u w:val="single"/>
              </w:rPr>
            </w:pPr>
            <w:r>
              <w:rPr>
                <w:rFonts w:hint="eastAsia" w:ascii="宋体" w:hAnsi="宋体" w:cs="宋体"/>
                <w:color w:val="auto"/>
                <w:kern w:val="0"/>
                <w:sz w:val="22"/>
                <w:highlight w:val="none"/>
              </w:rPr>
              <w:t>2、</w:t>
            </w:r>
            <w:r>
              <w:rPr>
                <w:rFonts w:hint="eastAsia" w:ascii="宋体" w:hAnsi="宋体" w:cs="宋体"/>
                <w:color w:val="auto"/>
                <w:kern w:val="0"/>
                <w:sz w:val="22"/>
                <w:highlight w:val="none"/>
                <w:u w:val="single"/>
              </w:rPr>
              <w:t>▲要求设备具有高度融合性，设备可以是由一台主机设备和一块触摸屏二个设备组成也可以是一个设备（主机和触摸屏一体化）。</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二、主机数据接口要求：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1、电源管理：1路总电源输入AC 220V 50/60Hz，3路AC 220V 50/60Hz电源输出。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 xml:space="preserve">2、大于4路网络接口，其中不少于2路千兆网口，不少于2路供电网络口。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 大屏触控：触控接口不少于2路，和外接大屏的触摸连接进行消息通信。</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4、支持≥2路RS232串口控制，实现对教室内其他设备的控制。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5、视频输入输出：HDMI in≥3路，HDMI out≥3路</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6、音频输入输出：3.5mm音频接口，line in≥2路,AUDIO out≥1路</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7、以上参数要求需提供清晰产品实物接口图片加以验证；</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三、触摸显示屏要求：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1、显示屏尺寸：≥2</w:t>
            </w:r>
            <w:r>
              <w:rPr>
                <w:rFonts w:ascii="宋体" w:hAnsi="宋体" w:cs="宋体"/>
                <w:color w:val="auto"/>
                <w:kern w:val="0"/>
                <w:sz w:val="22"/>
                <w:highlight w:val="none"/>
              </w:rPr>
              <w:t>1</w:t>
            </w:r>
            <w:r>
              <w:rPr>
                <w:rFonts w:hint="eastAsia" w:ascii="宋体" w:hAnsi="宋体" w:cs="宋体"/>
                <w:color w:val="auto"/>
                <w:kern w:val="0"/>
                <w:sz w:val="22"/>
                <w:highlight w:val="none"/>
              </w:rPr>
              <w:t>寸（高灵敏度十点触控屏）；</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2、分辨率：</w:t>
            </w:r>
            <w:r>
              <w:rPr>
                <w:rFonts w:hint="eastAsia" w:ascii="宋体" w:hAnsi="宋体" w:cs="宋体"/>
                <w:color w:val="auto"/>
                <w:sz w:val="22"/>
                <w:highlight w:val="none"/>
              </w:rPr>
              <w:t>≥1920*1080；</w:t>
            </w:r>
          </w:p>
          <w:p>
            <w:pPr>
              <w:widowControl/>
              <w:spacing w:line="360" w:lineRule="exact"/>
              <w:jc w:val="left"/>
              <w:rPr>
                <w:rFonts w:ascii="宋体" w:hAnsi="宋体" w:cs="宋体"/>
                <w:color w:val="auto"/>
                <w:kern w:val="0"/>
                <w:sz w:val="22"/>
                <w:highlight w:val="none"/>
              </w:rPr>
            </w:pPr>
            <w:r>
              <w:rPr>
                <w:rFonts w:ascii="宋体" w:hAnsi="宋体" w:cs="宋体"/>
                <w:color w:val="auto"/>
                <w:kern w:val="0"/>
                <w:sz w:val="22"/>
                <w:highlight w:val="none"/>
              </w:rPr>
              <w:t>3</w:t>
            </w:r>
            <w:r>
              <w:rPr>
                <w:rFonts w:hint="eastAsia" w:ascii="宋体" w:hAnsi="宋体" w:cs="宋体"/>
                <w:color w:val="auto"/>
                <w:kern w:val="0"/>
                <w:sz w:val="22"/>
                <w:highlight w:val="none"/>
              </w:rPr>
              <w:t>、点距不小于0.2715mm；色数不低于16.7M；亮度不小于250cd/㎡；</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4、电源类型：外接电源适配器；</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5、USB扩展/充电：3个；音频/耳机输出1个；HDMI接口2个；VGA1个。</w:t>
            </w:r>
          </w:p>
          <w:p>
            <w:pPr>
              <w:widowControl/>
              <w:spacing w:line="360" w:lineRule="exact"/>
              <w:jc w:val="left"/>
              <w:rPr>
                <w:rFonts w:ascii="宋体" w:hAnsi="宋体" w:cs="宋体"/>
                <w:color w:val="auto"/>
                <w:kern w:val="0"/>
                <w:sz w:val="22"/>
                <w:highlight w:val="none"/>
              </w:rPr>
            </w:pPr>
            <w:r>
              <w:rPr>
                <w:rFonts w:hint="eastAsia" w:ascii="宋体" w:hAnsi="宋体" w:cs="宋体"/>
                <w:color w:val="auto"/>
                <w:sz w:val="22"/>
                <w:highlight w:val="none"/>
              </w:rPr>
              <w:t>6、内嵌在讲台内，即可作为功能操作屏，又可作为课件电脑显示器使用（不再另外配置课件电脑显示器设备）；</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四、音频处理要求：</w:t>
            </w:r>
          </w:p>
          <w:p>
            <w:pPr>
              <w:pStyle w:val="2"/>
              <w:tabs>
                <w:tab w:val="right" w:leader="dot" w:pos="8302"/>
                <w:tab w:val="clear" w:pos="8931"/>
              </w:tabs>
              <w:spacing w:line="360" w:lineRule="exac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1、采用将扩声、拾音混音、回声抑制等融于于一体的结构设计。</w:t>
            </w:r>
          </w:p>
          <w:p>
            <w:pPr>
              <w:pStyle w:val="2"/>
              <w:tabs>
                <w:tab w:val="right" w:leader="dot" w:pos="8302"/>
                <w:tab w:val="clear" w:pos="8931"/>
              </w:tabs>
              <w:spacing w:line="360" w:lineRule="exac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2、高解析音质∶高精度音频采样，提供可调节EQ和温响抑制算法，多个维度提供清晰声音。</w:t>
            </w:r>
          </w:p>
          <w:p>
            <w:pPr>
              <w:pStyle w:val="2"/>
              <w:tabs>
                <w:tab w:val="right" w:leader="dot" w:pos="8302"/>
                <w:tab w:val="clear" w:pos="8931"/>
              </w:tabs>
              <w:spacing w:line="360" w:lineRule="exact"/>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3、高精度调控，内置回声抑制、自动增益、噪声抑制、反馈消除等功能；</w:t>
            </w:r>
          </w:p>
          <w:p>
            <w:pPr>
              <w:pStyle w:val="2"/>
              <w:tabs>
                <w:tab w:val="right" w:leader="dot" w:pos="8302"/>
                <w:tab w:val="clear" w:pos="8931"/>
              </w:tabs>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4、内置独立供电的2*100W功放；</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五、功能要求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1、多媒体控制：</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 支持多种方式登录设备主机，包括：用户名加密码、IC刷卡和人脸识别等方式；</w:t>
            </w:r>
          </w:p>
          <w:p>
            <w:pPr>
              <w:pStyle w:val="2"/>
              <w:tabs>
                <w:tab w:val="right" w:leader="dot" w:pos="8302"/>
                <w:tab w:val="clear" w:pos="8931"/>
              </w:tabs>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2）具备对教室内显示设备如投影及幕布、大屏、多块大屏组合的电源供电和电源管理，可实现对投影幕布的升降控制。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 具备对教室内外设的接入和管控，如功放、台式机、无线麦等外设的接入及控制。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 具备远程开关机、状态显示与查询等控制，支持远程批量开关机控制。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5) 支持硬件方式实现电子白板功能进行课堂板书；在圈点或批注状态下课进行颜色设置；更换教学电脑或老师笔记本电脑授课时，无需安装任何软件即可使用上述功能；                                              6）支持通过自定义时间的方式，实现远程设备批量升级，支持升级信息推送功能；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2、多屏异显：</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 支持双班教学功能，通过双板教学功能按键可实现对直接接入主机的3台显示设备进行控制，多台显示设备画面可同步、先后联动、拼接显示展示内容；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 在没有触控显示器的情况下，主机支持普通电脑显示器接入,支持鼠标操作。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 为便于课件显示及操作，要求触摸显示屏即可作为操作屏使用又可以作为课件电脑显示器使用；教师通过对触摸显示屏触控滑动进行切换；</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 教室配备多个显示屏的情况下，教师可以一键实现ppt联动翻页、复制呈现、ppt与板书同时呈现、ppt与课堂互动等等多种教学内容呈现。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六、其他要求：</w:t>
            </w:r>
            <w:r>
              <w:rPr>
                <w:rFonts w:hint="eastAsia" w:ascii="宋体" w:hAnsi="宋体" w:eastAsia="宋体" w:cs="宋体"/>
                <w:color w:val="auto"/>
                <w:kern w:val="0"/>
                <w:sz w:val="22"/>
                <w:szCs w:val="22"/>
                <w:highlight w:val="none"/>
              </w:rPr>
              <w:br w:type="textWrapping"/>
            </w:r>
            <w:r>
              <w:rPr>
                <w:rFonts w:hint="eastAsia" w:ascii="宋体" w:hAnsi="宋体" w:eastAsia="宋体" w:cs="宋体"/>
                <w:bCs/>
                <w:color w:val="auto"/>
                <w:kern w:val="0"/>
                <w:sz w:val="22"/>
                <w:szCs w:val="22"/>
                <w:highlight w:val="none"/>
              </w:rPr>
              <w:t>1、本设备必需与学校一期采购的融合管控平台实现对接使用。</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拾音麦克风</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1、与多媒体教室主机匹配，适用于远距离拾音，话筒处理电路专门针对人声做细微处理，并对远距离拾取的声音作声音补偿；</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2、收音头：电容式</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3、指向特性：超心形单指向性 120°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4、频率响应：50-20000Hz</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5、开通灵敏度：-40dB（10mv）以1V于1Pa</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6、输出阻抗：600欧姆</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7、最大承受声压：118dB：1KHz于1%T.H.D</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8、信噪比：71dB 1KHz于1Pa</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9、幻像供电：直流12-52V 耗电4mA</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高清摄像机1</w:t>
            </w:r>
            <w:r>
              <w:rPr>
                <w:rFonts w:hint="eastAsia" w:ascii="宋体" w:hAnsi="宋体" w:cs="宋体"/>
                <w:b w:val="0"/>
                <w:bCs w:val="0"/>
                <w:color w:val="auto"/>
                <w:kern w:val="0"/>
                <w:sz w:val="22"/>
                <w:highlight w:val="none"/>
                <w:lang w:val="en-US" w:eastAsia="zh-CN"/>
              </w:rPr>
              <w:t>（4K网络）</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1、传感器要求：1/2.8英寸4K CMOS ，有效像素845万；</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2、镜头：2.0mm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3、水平视角：110°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4、曝光模式：自动、手动，快门优先；</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5、白平衡：自动、手动</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6、接口：1*USB、RJ45*1</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7、视频信号输出：支持网络信号和USB信号同步输出；</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8、视频格式：H.264/H.265；3840*2160,1920*1080,1280*720,640*480；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9、网络协议：HTTP/TCP/RTSP/RTMP</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高清摄像机2</w:t>
            </w:r>
            <w:r>
              <w:rPr>
                <w:rFonts w:hint="eastAsia" w:ascii="宋体" w:hAnsi="宋体" w:cs="宋体"/>
                <w:b w:val="0"/>
                <w:bCs w:val="0"/>
                <w:color w:val="auto"/>
                <w:kern w:val="0"/>
                <w:sz w:val="22"/>
                <w:highlight w:val="none"/>
                <w:lang w:val="en-US" w:eastAsia="zh-CN"/>
              </w:rPr>
              <w:t>（USB）</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1、分辨率：1920*1080；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2、最低照度：0.1Lux@（F1.2,AGC ON）</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3、变焦：2.7mm~13mm；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4、视角：水平：107°-28°；垂直：59°-15°；</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5、视频输出：USB；</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6、功耗：1.3W MAX；</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音箱</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1.额定阻抗：8Ω</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2.额定功率：100W</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3.最大功率：150W</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4.有效频率范围（-6dB）：80 Hz -18KHz</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5.灵敏度：89dB /w/m</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讲台</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1、讲台尺寸：长1100 mm ×宽600 mm ×高1000 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讲台采用上下分体式结构设计，钢板采用0.8mm-1.5mm优质冷轧钢板。上体为钢木结构组合，二侧扶手采用实木木制扶手。桌面采用18mm厚耐刮木面板制作，可以很好的防止静电、漏电，冬季老师手扶上去不冷，使用起来更人性化。桌面左、前、右三边缘凸起，防止教具滚落。采用脱脂、除酸、磷化、静电喷塑等工艺，防腐耐候性强，美观耐用。边缘及拐角采用圆弧设计，避免尖角，确保师生安全。</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3、讲台带防盗、防水、防火、防尘、散热等功能设计。</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4、前门采用左右开门式设计，方便设备的操作及维护，前门下边沿距离地面高度不低220mm。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6、桌面边、角采用平滑圆弧过渡、尖角处为圆球角，确保学生安全；表面采用整体酸洗磷化及静电喷塑处理，塑粉吸附力强，表面光洁。</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7、下柜体周围设有电源线、信号线等进出口位置，方便各线缆的进出，内部设有理线架，使线缆布置井然不紊；并配有防静电接地柱，有效防止静电。</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电子班牌</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一、硬件要求：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1.面板规格</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1）液晶面板：≥13寸，IPS屏；</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2）分辨率≥1920*1080；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3）★亮度≥400cd/㎡；</w:t>
            </w:r>
            <w:r>
              <w:rPr>
                <w:rFonts w:hint="eastAsia" w:ascii="宋体" w:hAnsi="宋体" w:cs="宋体"/>
                <w:b/>
                <w:bCs/>
                <w:color w:val="auto"/>
                <w:kern w:val="0"/>
                <w:sz w:val="22"/>
                <w:highlight w:val="none"/>
              </w:rPr>
              <w:t>商务和技术文件中提供国家认可机构出具的检测报告，否则视为负偏离</w:t>
            </w:r>
            <w:r>
              <w:rPr>
                <w:rFonts w:hint="eastAsia" w:ascii="宋体" w:hAnsi="宋体" w:cs="宋体"/>
                <w:color w:val="auto"/>
                <w:kern w:val="0"/>
                <w:sz w:val="22"/>
                <w:highlight w:val="none"/>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4）★采用10点电容式触控；</w:t>
            </w:r>
            <w:r>
              <w:rPr>
                <w:rFonts w:hint="eastAsia" w:ascii="宋体" w:hAnsi="宋体" w:cs="宋体"/>
                <w:b/>
                <w:bCs/>
                <w:color w:val="auto"/>
                <w:kern w:val="0"/>
                <w:sz w:val="22"/>
                <w:highlight w:val="none"/>
              </w:rPr>
              <w:t>商务和技术文件中提供国家认可机构出具的检测报告，否则视为负偏离</w:t>
            </w:r>
            <w:r>
              <w:rPr>
                <w:rFonts w:hint="eastAsia" w:ascii="宋体" w:hAnsi="宋体" w:cs="宋体"/>
                <w:color w:val="auto"/>
                <w:kern w:val="0"/>
                <w:sz w:val="22"/>
                <w:highlight w:val="none"/>
              </w:rPr>
              <w:t>；</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5）具备POE供电；</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2.系统参数要求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1）处理器 RK3288,A72大核+四Cortex-A53小核结构以上配置；</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2）内存 ≥2GB；</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3）主板原生存储≥16GB。</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3.接口要求：≥2路USB接口：≥1路卡槽（扩充储存装置 microSD）；≥1路网络接口；≥1HDMI接口。</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4.内置设备</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1）读卡器：RFID读卡器，频率：13.56MHZ；</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2）麦克风：音效输出2◊3W；</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 ★三色指示灯：屏幕自带红绿蓝三色指示灯</w:t>
            </w:r>
            <w:r>
              <w:rPr>
                <w:rFonts w:hint="eastAsia" w:ascii="宋体" w:hAnsi="宋体" w:cs="宋体"/>
                <w:b/>
                <w:bCs/>
                <w:color w:val="auto"/>
                <w:kern w:val="0"/>
                <w:sz w:val="22"/>
                <w:highlight w:val="none"/>
              </w:rPr>
              <w:t>（商务和技术文件中提供国家认可机构出具的检测报告，否则视为负偏离）</w:t>
            </w:r>
            <w:r>
              <w:rPr>
                <w:rFonts w:hint="eastAsia" w:ascii="宋体" w:hAnsi="宋体" w:cs="宋体"/>
                <w:color w:val="auto"/>
                <w:kern w:val="0"/>
                <w:sz w:val="22"/>
                <w:highlight w:val="none"/>
              </w:rPr>
              <w:t>，显示空间使用状态。</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二、软功能要求：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1.数据同步：同步教务系统，可手动同步教室信息、院系信息等；选课表支持自动同步；</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2.素材管理：管理要发布到设备上的素材，素材可以是视频、音频、图片、网页；</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 督导视频监控：配置具有督导权限的老师，督导通过刷卡或人脸识别方式在电子班牌上查看教室内的视频监控，对教学进行督导；</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4.呼叫服务：可添加服务类型，如清洁服务等。可以在后台发起服务呼叫，相关人员可在电子班牌上进行身份认证，可清查服务列表。</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电子时钟</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1、屏幕亮度（平均值）≥1500cd/ m2；</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2、LED寿命＞50000小时，亮度均匀性最低像素亮度/最高像素亮度≤0.9；</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3、最大功耗/使用功耗≤10W；</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4、首时精度：月误差＜3秒；</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b w:val="0"/>
                <w:bCs w:val="0"/>
                <w:color w:val="auto"/>
                <w:kern w:val="0"/>
                <w:sz w:val="22"/>
                <w:highlight w:val="none"/>
                <w:lang w:val="en-US" w:eastAsia="zh-CN"/>
              </w:rPr>
              <w:t>辅助显示屏（</w:t>
            </w:r>
            <w:r>
              <w:rPr>
                <w:rFonts w:hint="eastAsia" w:ascii="宋体" w:hAnsi="宋体" w:cs="宋体"/>
                <w:b w:val="0"/>
                <w:bCs w:val="0"/>
                <w:color w:val="auto"/>
                <w:kern w:val="0"/>
                <w:sz w:val="22"/>
                <w:highlight w:val="none"/>
              </w:rPr>
              <w:t>电视机</w:t>
            </w:r>
            <w:r>
              <w:rPr>
                <w:rFonts w:hint="eastAsia" w:ascii="宋体" w:hAnsi="宋体" w:cs="宋体"/>
                <w:b w:val="0"/>
                <w:bCs w:val="0"/>
                <w:color w:val="auto"/>
                <w:kern w:val="0"/>
                <w:sz w:val="22"/>
                <w:highlight w:val="none"/>
                <w:lang w:val="en-US" w:eastAsia="zh-CN"/>
              </w:rPr>
              <w:t>）</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1.采用L</w:t>
            </w:r>
            <w:r>
              <w:rPr>
                <w:rFonts w:ascii="宋体" w:hAnsi="宋体" w:cs="宋体"/>
                <w:color w:val="auto"/>
                <w:kern w:val="0"/>
                <w:sz w:val="22"/>
                <w:highlight w:val="none"/>
              </w:rPr>
              <w:t>ED</w:t>
            </w:r>
            <w:r>
              <w:rPr>
                <w:rFonts w:hint="eastAsia" w:ascii="宋体" w:hAnsi="宋体" w:cs="宋体"/>
                <w:color w:val="auto"/>
                <w:kern w:val="0"/>
                <w:sz w:val="22"/>
                <w:highlight w:val="none"/>
              </w:rPr>
              <w:t>液晶面，尺寸不小于65寸；</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2.屏幕宽高比：16:9；</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3.分辨率：1920*1080；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4.对比度：≥4000:1；</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5.响应时间：≤4ms；</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6.输入接口：≥2个HDMI接口。</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133"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电动屏幕</w:t>
            </w:r>
          </w:p>
        </w:tc>
        <w:tc>
          <w:tcPr>
            <w:tcW w:w="7130" w:type="dxa"/>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1、尺寸：120寸，16：10；</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2、材质：PVC 白塑；</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3、增益：≥1.5；</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4、控制：电动。</w:t>
            </w:r>
          </w:p>
        </w:tc>
        <w:tc>
          <w:tcPr>
            <w:tcW w:w="734"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845"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b w:val="0"/>
                <w:bCs w:val="0"/>
                <w:color w:val="auto"/>
                <w:kern w:val="0"/>
                <w:sz w:val="22"/>
                <w:highlight w:val="none"/>
              </w:rPr>
              <w:t>高清矩阵板卡</w:t>
            </w:r>
            <w:r>
              <w:rPr>
                <w:rFonts w:hint="eastAsia" w:ascii="宋体" w:hAnsi="宋体" w:cs="宋体"/>
                <w:b w:val="0"/>
                <w:bCs w:val="0"/>
                <w:color w:val="auto"/>
                <w:kern w:val="0"/>
                <w:sz w:val="22"/>
                <w:highlight w:val="none"/>
                <w:lang w:val="en-US" w:eastAsia="zh-CN"/>
              </w:rPr>
              <w:t>（4路HDMI输入）</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4路1080P高清HDMI信号输入；</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1路1080P高清HDMI输出；</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要求与一期高清矩阵设备对接使用。</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60"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搪瓷白板1</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1.颜色：白色；</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2.基本尺寸：外径2100*1260mm，保证与“86寸触摸一体机”设备物理尺寸有效对接； </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3.板面：采用优质搪瓷板面，颜色为白色，厚度≥0.4mm，光泽度≤12光泽单位；</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4.没有因黑板本身原因产生的眩光，书写流畅字迹清晰、色彩协调可视效果佳；板面表面附有一层透明保护膜。</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5.衬板：选用高强度、吸音、防潮、阻燃聚苯乙烯板，厚度≥14mm。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6.背板：采用优质镀锌钢板，厚度≥0.2mm，机械化流水线一次成型，设有凹槽加。</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7.强筋，增加板体强度。</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8.边框：采用高强度电泳铝合金型材，型腔结构，增加板体挺度，教学板面采用槽内镶嵌、全包式结构。</w:t>
            </w:r>
          </w:p>
          <w:p>
            <w:pPr>
              <w:pStyle w:val="2"/>
              <w:rPr>
                <w:rFonts w:hint="eastAsia" w:ascii="宋体" w:hAnsi="宋体" w:eastAsia="宋体" w:cs="宋体"/>
                <w:smallCaps w:val="0"/>
                <w:color w:val="auto"/>
                <w:kern w:val="0"/>
                <w:sz w:val="22"/>
                <w:szCs w:val="22"/>
                <w:highlight w:val="none"/>
              </w:rPr>
            </w:pPr>
            <w:r>
              <w:rPr>
                <w:rFonts w:ascii="宋体" w:hAnsi="宋体" w:eastAsia="宋体" w:cs="宋体"/>
                <w:smallCaps w:val="0"/>
                <w:color w:val="auto"/>
                <w:kern w:val="0"/>
                <w:sz w:val="22"/>
                <w:szCs w:val="22"/>
                <w:highlight w:val="none"/>
              </w:rPr>
              <w:t>9</w:t>
            </w:r>
            <w:r>
              <w:rPr>
                <w:rFonts w:hint="eastAsia" w:ascii="宋体" w:hAnsi="宋体" w:eastAsia="宋体" w:cs="宋体"/>
                <w:smallCaps w:val="0"/>
                <w:color w:val="auto"/>
                <w:kern w:val="0"/>
                <w:sz w:val="22"/>
                <w:szCs w:val="22"/>
                <w:highlight w:val="none"/>
              </w:rPr>
              <w:t>.包角：采用高强度、抗老化ABS工程塑料注塑成型，无尖角毛刺。</w:t>
            </w:r>
            <w:r>
              <w:rPr>
                <w:rFonts w:hint="eastAsia" w:ascii="宋体" w:hAnsi="宋体" w:eastAsia="宋体" w:cs="宋体"/>
                <w:smallCaps w:val="0"/>
                <w:color w:val="auto"/>
                <w:kern w:val="0"/>
                <w:sz w:val="22"/>
                <w:szCs w:val="22"/>
                <w:highlight w:val="none"/>
              </w:rPr>
              <w:br w:type="textWrapping"/>
            </w:r>
            <w:r>
              <w:rPr>
                <w:rFonts w:hint="eastAsia" w:ascii="宋体" w:hAnsi="宋体" w:eastAsia="宋体" w:cs="宋体"/>
                <w:smallCaps w:val="0"/>
                <w:color w:val="auto"/>
                <w:kern w:val="0"/>
                <w:sz w:val="22"/>
                <w:szCs w:val="22"/>
                <w:highlight w:val="none"/>
              </w:rPr>
              <w:t>1</w:t>
            </w:r>
            <w:r>
              <w:rPr>
                <w:rFonts w:ascii="宋体" w:hAnsi="宋体" w:eastAsia="宋体" w:cs="宋体"/>
                <w:smallCaps w:val="0"/>
                <w:color w:val="auto"/>
                <w:kern w:val="0"/>
                <w:sz w:val="22"/>
                <w:szCs w:val="22"/>
                <w:highlight w:val="none"/>
              </w:rPr>
              <w:t>0</w:t>
            </w:r>
            <w:r>
              <w:rPr>
                <w:rFonts w:hint="eastAsia" w:ascii="宋体" w:hAnsi="宋体" w:eastAsia="宋体" w:cs="宋体"/>
                <w:smallCaps w:val="0"/>
                <w:color w:val="auto"/>
                <w:kern w:val="0"/>
                <w:sz w:val="22"/>
                <w:szCs w:val="22"/>
                <w:highlight w:val="none"/>
              </w:rPr>
              <w:t>.安装：配装自制L形钢制安装件，隐形安装、没有外露的挂接件，符合GB21027-2007《学生用品的安全通用要求》</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60"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搪瓷白板2</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1.颜色：白色；</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2.尺寸：4400mm×1250mm。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3.板面：采用优质搪瓷板面，颜色为白色，厚度≥0.4mm，光泽度≤12光泽单位；</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4.没有因黑板本身原因产生的眩光，书写流畅字迹清晰、色彩协调可视效果佳；板面表面附有一层透明保护膜，符合GB28231-2011《书写板安全卫生要求》。</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5.衬板：选用高强度、吸音、防潮、阻燃聚苯乙烯板，厚度≥14mm。</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6.背板：采用优质镀锌钢板，厚度≥0.2mm，机械化流水线一次成型，设有凹槽加</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7.强筋，增加板体强度。</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8.边框：采用高强度香槟色电泳铝合金型材，型腔结构，增加板体挺度，教学板面采用槽内镶嵌、全包式结构。</w:t>
            </w:r>
            <w:r>
              <w:rPr>
                <w:rFonts w:hint="eastAsia" w:ascii="宋体" w:hAnsi="宋体" w:cs="宋体"/>
                <w:color w:val="auto"/>
                <w:kern w:val="0"/>
                <w:sz w:val="22"/>
                <w:highlight w:val="none"/>
              </w:rPr>
              <w:br w:type="textWrapping"/>
            </w:r>
            <w:r>
              <w:rPr>
                <w:rFonts w:ascii="宋体" w:hAnsi="宋体" w:cs="宋体"/>
                <w:color w:val="auto"/>
                <w:kern w:val="0"/>
                <w:sz w:val="22"/>
                <w:highlight w:val="none"/>
              </w:rPr>
              <w:t>9</w:t>
            </w:r>
            <w:r>
              <w:rPr>
                <w:rFonts w:hint="eastAsia" w:ascii="宋体" w:hAnsi="宋体" w:cs="宋体"/>
                <w:color w:val="auto"/>
                <w:kern w:val="0"/>
                <w:sz w:val="22"/>
                <w:highlight w:val="none"/>
              </w:rPr>
              <w:t>.包角：采用高强度、抗老化ABS工程塑料注塑成型，无尖角毛刺。</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1</w:t>
            </w:r>
            <w:r>
              <w:rPr>
                <w:rFonts w:ascii="宋体" w:hAnsi="宋体" w:cs="宋体"/>
                <w:color w:val="auto"/>
                <w:kern w:val="0"/>
                <w:sz w:val="22"/>
                <w:highlight w:val="none"/>
              </w:rPr>
              <w:t>0</w:t>
            </w:r>
            <w:r>
              <w:rPr>
                <w:rFonts w:hint="eastAsia" w:ascii="宋体" w:hAnsi="宋体" w:cs="宋体"/>
                <w:color w:val="auto"/>
                <w:kern w:val="0"/>
                <w:sz w:val="22"/>
                <w:highlight w:val="none"/>
              </w:rPr>
              <w:t>.安装：配装自制L形钢制安装件，隐形安装、没有外露的挂接件，符合GB21027-2007《学生用品的安全通用要求》</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60" w:hRule="atLeast"/>
          <w:jc w:val="center"/>
        </w:trPr>
        <w:tc>
          <w:tcPr>
            <w:tcW w:w="972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二、软件设备清单</w:t>
            </w:r>
          </w:p>
        </w:tc>
      </w:tr>
      <w:tr>
        <w:tblPrEx>
          <w:tblCellMar>
            <w:top w:w="0" w:type="dxa"/>
            <w:left w:w="108" w:type="dxa"/>
            <w:bottom w:w="0" w:type="dxa"/>
            <w:right w:w="108" w:type="dxa"/>
          </w:tblCellMar>
        </w:tblPrEx>
        <w:trPr>
          <w:trHeight w:val="260"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b w:val="0"/>
                <w:bCs w:val="0"/>
                <w:color w:val="auto"/>
                <w:kern w:val="0"/>
                <w:sz w:val="22"/>
                <w:highlight w:val="none"/>
                <w:lang w:val="en-US" w:eastAsia="zh-CN"/>
              </w:rPr>
              <w:t>国产多媒体教室管理系统授权（</w:t>
            </w:r>
            <w:r>
              <w:rPr>
                <w:rFonts w:hint="eastAsia" w:ascii="宋体" w:hAnsi="宋体" w:cs="宋体"/>
                <w:b w:val="0"/>
                <w:bCs w:val="0"/>
                <w:color w:val="auto"/>
                <w:kern w:val="0"/>
                <w:sz w:val="22"/>
                <w:highlight w:val="none"/>
              </w:rPr>
              <w:t>嵌入式管理系统软件</w:t>
            </w:r>
            <w:r>
              <w:rPr>
                <w:rFonts w:hint="eastAsia" w:ascii="宋体" w:hAnsi="宋体" w:cs="宋体"/>
                <w:b w:val="0"/>
                <w:bCs w:val="0"/>
                <w:color w:val="auto"/>
                <w:kern w:val="0"/>
                <w:sz w:val="22"/>
                <w:highlight w:val="none"/>
                <w:lang w:val="en-US" w:eastAsia="zh-CN"/>
              </w:rPr>
              <w:t>）</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1、软件采用B/S架构，支持远程管理智慧教室主机，通过WEB端可以直接进行修改配置及编写控制代码等操作。 </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2、支持教室多种设备的智能集控管理、状态远程监视及能耗统计；可对设备终端进行本地或远程控制，管理教室电脑、投影机、大屏、无线（有线）麦克风、录播模块等。</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3、支持可进行分组、分点编程，可根据预设时间通过平台软件自动执行教室所有连接设备的开启与关闭、禁用与启用等策略，实现智慧教室的统一管控。</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4、支持网络断链后，自动切换到本地操作状态，上课老师可采用手动开关机，不影响教学的正常使用；联网后本地数据实时上传至服务器，自动更新日志数据。</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5、终端支持与基础信息平台数据对接，根据权限预设，自动身份识别，门禁授权、智能考勤、设备联动控制、环境控制、教学任务推送等。</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60"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b w:val="0"/>
                <w:bCs w:val="0"/>
                <w:color w:val="auto"/>
                <w:kern w:val="0"/>
                <w:sz w:val="22"/>
                <w:highlight w:val="none"/>
                <w:lang w:val="en-US" w:eastAsia="zh-CN"/>
              </w:rPr>
              <w:t>国产多媒体教室</w:t>
            </w:r>
            <w:r>
              <w:rPr>
                <w:rFonts w:hint="eastAsia" w:ascii="宋体" w:hAnsi="宋体" w:cs="宋体"/>
                <w:b w:val="0"/>
                <w:bCs w:val="0"/>
                <w:color w:val="auto"/>
                <w:kern w:val="0"/>
                <w:sz w:val="22"/>
                <w:highlight w:val="none"/>
              </w:rPr>
              <w:t>直录</w:t>
            </w:r>
            <w:r>
              <w:rPr>
                <w:rFonts w:hint="eastAsia" w:ascii="宋体" w:hAnsi="宋体" w:cs="宋体"/>
                <w:b w:val="0"/>
                <w:bCs w:val="0"/>
                <w:color w:val="auto"/>
                <w:kern w:val="0"/>
                <w:sz w:val="22"/>
                <w:highlight w:val="none"/>
                <w:lang w:val="en-US" w:eastAsia="zh-CN"/>
              </w:rPr>
              <w:t>播系统授权（</w:t>
            </w:r>
            <w:r>
              <w:rPr>
                <w:rFonts w:hint="eastAsia" w:ascii="宋体" w:hAnsi="宋体" w:cs="宋体"/>
                <w:b w:val="0"/>
                <w:bCs w:val="0"/>
                <w:color w:val="auto"/>
                <w:kern w:val="0"/>
                <w:sz w:val="22"/>
                <w:highlight w:val="none"/>
              </w:rPr>
              <w:t>直录播系统软件</w:t>
            </w:r>
            <w:r>
              <w:rPr>
                <w:rFonts w:hint="eastAsia" w:ascii="宋体" w:hAnsi="宋体" w:cs="宋体"/>
                <w:b w:val="0"/>
                <w:bCs w:val="0"/>
                <w:color w:val="auto"/>
                <w:kern w:val="0"/>
                <w:sz w:val="22"/>
                <w:highlight w:val="none"/>
                <w:lang w:val="en-US" w:eastAsia="zh-CN"/>
              </w:rPr>
              <w:t>）</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1、支持录播开始、停止。</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2、支持1080p高清录制，录制文件格式为MP4，编码格式为H.264。</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3、支持自动导播、手动导播、支持电脑画面锁定。</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4、手动导播情况下，可手动控制画面切换：老师全景、老师特写、学生全景、学生特写、VGA。</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5、在自动导播情况下，无需手动操作，系统依据教学规律自动切换应该呈现的画面。</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6、画面切换的优先级可定义，默认为VGA&gt;学生特写&gt;老师特写&gt;老师全景&gt;学生全景。</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7、支持一键直播，直播支持分辨率：1080p30；直播协议：rtmp/HTTP。</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60" w:hRule="atLeast"/>
          <w:jc w:val="center"/>
        </w:trPr>
        <w:tc>
          <w:tcPr>
            <w:tcW w:w="972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三、桌椅设备清单</w:t>
            </w:r>
          </w:p>
        </w:tc>
      </w:tr>
      <w:tr>
        <w:tblPrEx>
          <w:tblCellMar>
            <w:top w:w="0" w:type="dxa"/>
            <w:left w:w="108" w:type="dxa"/>
            <w:bottom w:w="0" w:type="dxa"/>
            <w:right w:w="108" w:type="dxa"/>
          </w:tblCellMar>
        </w:tblPrEx>
        <w:trPr>
          <w:trHeight w:val="260"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sz w:val="22"/>
                <w:highlight w:val="none"/>
              </w:rPr>
              <w:t>学生课桌1</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1.桌子形状为长条形；</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2.桌脚为优质钢制桌脚；</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3.规格尺寸：1800*450*750H（mm）；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4.桌面颜色：（可根据需求定制）；</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5.基材：采用 E1 级实木颗粒板，芯板厚 25mm；</w:t>
            </w:r>
          </w:p>
          <w:p>
            <w:pPr>
              <w:widowControl/>
              <w:spacing w:line="360" w:lineRule="exact"/>
              <w:jc w:val="left"/>
              <w:rPr>
                <w:rFonts w:hint="eastAsia" w:ascii="宋体" w:hAnsi="宋体" w:cs="宋体"/>
                <w:color w:val="auto"/>
                <w:kern w:val="0"/>
                <w:sz w:val="22"/>
                <w:highlight w:val="none"/>
              </w:rPr>
            </w:pPr>
            <w:r>
              <w:rPr>
                <w:rFonts w:hint="eastAsia" w:ascii="宋体" w:hAnsi="宋体" w:cs="宋体"/>
                <w:color w:val="auto"/>
                <w:kern w:val="0"/>
                <w:sz w:val="22"/>
                <w:highlight w:val="none"/>
              </w:rPr>
              <w:t>6.一级冷轧钢管，顶板为1.</w:t>
            </w:r>
            <w:r>
              <w:rPr>
                <w:rFonts w:ascii="宋体" w:hAnsi="宋体" w:cs="宋体"/>
                <w:color w:val="auto"/>
                <w:kern w:val="0"/>
                <w:sz w:val="22"/>
                <w:highlight w:val="none"/>
              </w:rPr>
              <w:t>5</w:t>
            </w:r>
            <w:r>
              <w:rPr>
                <w:rFonts w:hint="eastAsia" w:ascii="宋体" w:hAnsi="宋体" w:cs="宋体"/>
                <w:color w:val="auto"/>
                <w:kern w:val="0"/>
                <w:sz w:val="22"/>
                <w:highlight w:val="none"/>
              </w:rPr>
              <w:t>mm钢板冲压成型，立柱50*25*T1.2蛋通，层板为0.8mm钢板冲压折边；表面全处理后高温静电喷涂，手按折叠开关，带固定防。板材采用高密度板基材，基材经过防虫防潮防腐处理，表面防刮耐磨，面板厚度25mm，2mmPVC封边。</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60"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学生课桌</w:t>
            </w:r>
            <w:r>
              <w:rPr>
                <w:rFonts w:ascii="宋体" w:hAnsi="宋体" w:cs="宋体"/>
                <w:color w:val="auto"/>
                <w:sz w:val="22"/>
                <w:highlight w:val="none"/>
              </w:rPr>
              <w:t>2</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1.桌子形状为长条形；</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2.桌脚为优质钢制桌脚；</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3.规格尺寸：1200*450*750H（mm）；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4.桌面颜色：（可根据需求定制）；</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5.基材：采用 E1 级实木颗粒板，芯板厚 25mm；</w:t>
            </w:r>
          </w:p>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6. 一级冷轧钢管，顶板为1.</w:t>
            </w:r>
            <w:r>
              <w:rPr>
                <w:rFonts w:ascii="宋体" w:hAnsi="宋体" w:cs="宋体"/>
                <w:color w:val="auto"/>
                <w:kern w:val="0"/>
                <w:sz w:val="22"/>
                <w:highlight w:val="none"/>
              </w:rPr>
              <w:t>5</w:t>
            </w:r>
            <w:r>
              <w:rPr>
                <w:rFonts w:hint="eastAsia" w:ascii="宋体" w:hAnsi="宋体" w:cs="宋体"/>
                <w:color w:val="auto"/>
                <w:kern w:val="0"/>
                <w:sz w:val="22"/>
                <w:highlight w:val="none"/>
              </w:rPr>
              <w:t>mm钢板冲压成型，立柱50*25*T1.2蛋通，层板为0.8mm钢板冲压折边；表面全处理后高温静电喷涂，手按折叠开关，带固定防。板材采用高密度板基材，基材经过防虫防潮防腐处理，表面防刮耐磨，面板厚度25mm，2mmPVC封边。</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60" w:hRule="atLeast"/>
          <w:jc w:val="center"/>
        </w:trPr>
        <w:tc>
          <w:tcPr>
            <w:tcW w:w="7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学生座椅</w:t>
            </w:r>
          </w:p>
        </w:tc>
        <w:tc>
          <w:tcPr>
            <w:tcW w:w="7130"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1.椅身：优质PP材料、厚度</w:t>
            </w:r>
            <w:r>
              <w:rPr>
                <w:rFonts w:ascii="宋体" w:hAnsi="宋体" w:cs="宋体"/>
                <w:color w:val="auto"/>
                <w:kern w:val="0"/>
                <w:sz w:val="22"/>
                <w:highlight w:val="none"/>
              </w:rPr>
              <w:t>6</w:t>
            </w:r>
            <w:r>
              <w:rPr>
                <w:rFonts w:hint="eastAsia" w:ascii="宋体" w:hAnsi="宋体" w:cs="宋体"/>
                <w:color w:val="auto"/>
                <w:kern w:val="0"/>
                <w:sz w:val="22"/>
                <w:highlight w:val="none"/>
              </w:rPr>
              <w:t>MM，椅背椅座采用连体设计，椅坐面为圆形；椅背后方有竖条型支撑柱，采用尼龙加强材料，外面斜面削边造型设计，造形精美。</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2.椅座：为优质PP材料底，周边螺丝位隐藏式设计，椅座内置工型焊接钢板支托架，采用3MM钢板冲压、焊接成型（材质Q235、冷轧料），结构牢固稳重。</w:t>
            </w:r>
            <w:r>
              <w:rPr>
                <w:rFonts w:hint="eastAsia" w:ascii="宋体" w:hAnsi="宋体" w:cs="宋体"/>
                <w:color w:val="auto"/>
                <w:kern w:val="0"/>
                <w:sz w:val="22"/>
                <w:highlight w:val="none"/>
              </w:rPr>
              <w:br w:type="textWrapping"/>
            </w:r>
            <w:r>
              <w:rPr>
                <w:rFonts w:hint="eastAsia" w:ascii="宋体" w:hAnsi="宋体" w:cs="宋体"/>
                <w:color w:val="auto"/>
                <w:kern w:val="0"/>
                <w:sz w:val="22"/>
                <w:highlight w:val="none"/>
              </w:rPr>
              <w:t>3.弓架：采用直径</w:t>
            </w:r>
            <w:r>
              <w:rPr>
                <w:rFonts w:ascii="宋体" w:hAnsi="宋体" w:cs="宋体"/>
                <w:color w:val="auto"/>
                <w:kern w:val="0"/>
                <w:sz w:val="22"/>
                <w:highlight w:val="none"/>
              </w:rPr>
              <w:t>2</w:t>
            </w:r>
            <w:r>
              <w:rPr>
                <w:rFonts w:hint="eastAsia" w:ascii="宋体" w:hAnsi="宋体" w:cs="宋体"/>
                <w:color w:val="auto"/>
                <w:kern w:val="0"/>
                <w:sz w:val="22"/>
                <w:highlight w:val="none"/>
              </w:rPr>
              <w:t>5*2.0厚优质钢管，内置20*T2.0加强套管，配直径为50mm的黑色尼龙脚、脚架未端配黑色优质尼龙料脚胶装饰垫。</w:t>
            </w:r>
          </w:p>
        </w:tc>
        <w:tc>
          <w:tcPr>
            <w:tcW w:w="73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cs="宋体"/>
                <w:color w:val="auto"/>
                <w:kern w:val="0"/>
                <w:sz w:val="22"/>
                <w:highlight w:val="none"/>
              </w:rPr>
            </w:pPr>
          </w:p>
        </w:tc>
      </w:tr>
    </w:tbl>
    <w:p>
      <w:pPr>
        <w:widowControl/>
        <w:adjustRightInd w:val="0"/>
        <w:snapToGrid w:val="0"/>
        <w:spacing w:line="36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五．其他</w:t>
      </w:r>
    </w:p>
    <w:p>
      <w:pPr>
        <w:widowControl/>
        <w:adjustRightInd w:val="0"/>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widowControl/>
        <w:adjustRightInd w:val="0"/>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w:t>
      </w:r>
      <w:r>
        <w:rPr>
          <w:rFonts w:hint="eastAsia" w:ascii="宋体" w:hAnsi="宋体" w:cs="宋体"/>
          <w:b/>
          <w:color w:val="auto"/>
          <w:spacing w:val="-6"/>
          <w:sz w:val="22"/>
          <w:highlight w:val="none"/>
        </w:rPr>
        <w:t>带“</w:t>
      </w:r>
      <w:r>
        <w:rPr>
          <w:rFonts w:hint="eastAsia" w:ascii="宋体" w:hAnsi="宋体" w:cs="宋体"/>
          <w:b/>
          <w:color w:val="auto"/>
          <w:sz w:val="22"/>
          <w:highlight w:val="none"/>
        </w:rPr>
        <w:t>★</w:t>
      </w:r>
      <w:r>
        <w:rPr>
          <w:rFonts w:hint="eastAsia" w:ascii="宋体" w:hAnsi="宋体" w:cs="宋体"/>
          <w:b/>
          <w:color w:val="auto"/>
          <w:spacing w:val="-6"/>
          <w:sz w:val="22"/>
          <w:highlight w:val="none"/>
        </w:rPr>
        <w:t>”的有关技术和商务要求为重要条款</w:t>
      </w:r>
      <w:r>
        <w:rPr>
          <w:rFonts w:hint="eastAsia" w:ascii="宋体" w:hAnsi="宋体" w:cs="宋体"/>
          <w:b/>
          <w:color w:val="auto"/>
          <w:sz w:val="22"/>
          <w:highlight w:val="none"/>
        </w:rPr>
        <w:t>。</w:t>
      </w:r>
    </w:p>
    <w:p>
      <w:pPr>
        <w:widowControl/>
        <w:adjustRightInd w:val="0"/>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pPr>
        <w:widowControl/>
        <w:adjustRightInd w:val="0"/>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pPr>
        <w:pStyle w:val="27"/>
        <w:ind w:left="442" w:hanging="442"/>
        <w:rPr>
          <w:rFonts w:hAnsi="宋体" w:cs="宋体"/>
          <w:b/>
          <w:bCs/>
          <w:color w:val="auto"/>
          <w:sz w:val="22"/>
          <w:highlight w:val="none"/>
        </w:rPr>
      </w:pPr>
    </w:p>
    <w:p>
      <w:pPr>
        <w:rPr>
          <w:color w:val="auto"/>
          <w:highlight w:val="none"/>
        </w:rPr>
      </w:pPr>
    </w:p>
    <w:p>
      <w:pPr>
        <w:pStyle w:val="27"/>
        <w:ind w:left="442" w:hanging="442"/>
        <w:rPr>
          <w:rFonts w:hAnsi="宋体" w:cs="宋体"/>
          <w:b/>
          <w:bCs/>
          <w:color w:val="auto"/>
          <w:sz w:val="22"/>
          <w:highlight w:val="none"/>
        </w:rPr>
      </w:pPr>
    </w:p>
    <w:p>
      <w:pPr>
        <w:pStyle w:val="27"/>
        <w:ind w:left="442" w:hanging="442"/>
        <w:rPr>
          <w:rFonts w:hAnsi="宋体" w:cs="宋体"/>
          <w:b/>
          <w:bCs/>
          <w:color w:val="auto"/>
          <w:sz w:val="22"/>
          <w:highlight w:val="none"/>
        </w:rPr>
      </w:pPr>
    </w:p>
    <w:p>
      <w:pPr>
        <w:pStyle w:val="27"/>
        <w:ind w:left="442" w:hanging="442"/>
        <w:rPr>
          <w:rFonts w:hAnsi="宋体" w:cs="宋体"/>
          <w:b/>
          <w:bCs/>
          <w:color w:val="auto"/>
          <w:sz w:val="22"/>
          <w:highlight w:val="none"/>
        </w:rPr>
      </w:pPr>
    </w:p>
    <w:p>
      <w:pPr>
        <w:rPr>
          <w:rFonts w:hAnsi="宋体" w:cs="宋体"/>
          <w:b/>
          <w:bCs/>
          <w:color w:val="auto"/>
          <w:sz w:val="22"/>
          <w:highlight w:val="none"/>
        </w:rPr>
      </w:pPr>
    </w:p>
    <w:p>
      <w:pPr>
        <w:pStyle w:val="2"/>
        <w:rPr>
          <w:rFonts w:hAnsi="宋体" w:cs="宋体"/>
          <w:b/>
          <w:bCs/>
          <w:color w:val="auto"/>
          <w:sz w:val="22"/>
          <w:highlight w:val="none"/>
        </w:rPr>
      </w:pPr>
    </w:p>
    <w:p>
      <w:pPr>
        <w:rPr>
          <w:rFonts w:hAnsi="宋体" w:cs="宋体"/>
          <w:b/>
          <w:bCs/>
          <w:color w:val="auto"/>
          <w:sz w:val="22"/>
          <w:highlight w:val="none"/>
        </w:rPr>
      </w:pPr>
    </w:p>
    <w:p>
      <w:pPr>
        <w:pStyle w:val="2"/>
        <w:rPr>
          <w:rFonts w:hAnsi="宋体" w:cs="宋体"/>
          <w:b/>
          <w:bCs/>
          <w:color w:val="auto"/>
          <w:sz w:val="22"/>
          <w:highlight w:val="none"/>
        </w:rPr>
      </w:pPr>
    </w:p>
    <w:p>
      <w:pPr>
        <w:rPr>
          <w:rFonts w:hAnsi="宋体" w:cs="宋体"/>
          <w:b/>
          <w:bCs/>
          <w:color w:val="auto"/>
          <w:sz w:val="22"/>
          <w:highlight w:val="none"/>
        </w:rPr>
      </w:pPr>
    </w:p>
    <w:p>
      <w:pPr>
        <w:pStyle w:val="2"/>
        <w:rPr>
          <w:color w:val="auto"/>
          <w:highlight w:val="none"/>
        </w:rPr>
      </w:pPr>
    </w:p>
    <w:p>
      <w:pPr>
        <w:pStyle w:val="27"/>
        <w:ind w:left="442" w:hanging="442"/>
        <w:rPr>
          <w:rFonts w:hAnsi="宋体" w:cs="宋体"/>
          <w:b/>
          <w:bCs/>
          <w:color w:val="auto"/>
          <w:sz w:val="22"/>
          <w:highlight w:val="none"/>
        </w:rPr>
      </w:pPr>
    </w:p>
    <w:p>
      <w:pPr>
        <w:pStyle w:val="27"/>
        <w:ind w:left="442" w:hanging="442"/>
        <w:rPr>
          <w:rFonts w:hAnsi="宋体" w:cs="宋体"/>
          <w:b/>
          <w:bCs/>
          <w:color w:val="auto"/>
          <w:sz w:val="22"/>
          <w:highlight w:val="none"/>
        </w:rPr>
      </w:pPr>
    </w:p>
    <w:p>
      <w:pPr>
        <w:rPr>
          <w:rFonts w:hAnsi="宋体" w:cs="宋体"/>
          <w:b/>
          <w:bCs/>
          <w:color w:val="auto"/>
          <w:sz w:val="22"/>
          <w:highlight w:val="none"/>
        </w:rPr>
      </w:pPr>
    </w:p>
    <w:p>
      <w:pPr>
        <w:pStyle w:val="2"/>
        <w:rPr>
          <w:rFonts w:hAnsi="宋体" w:cs="宋体"/>
          <w:b/>
          <w:bCs/>
          <w:color w:val="auto"/>
          <w:sz w:val="22"/>
          <w:highlight w:val="none"/>
        </w:rPr>
      </w:pPr>
    </w:p>
    <w:p>
      <w:pPr>
        <w:rPr>
          <w:rFonts w:hAnsi="宋体" w:cs="宋体"/>
          <w:b/>
          <w:bCs/>
          <w:color w:val="auto"/>
          <w:sz w:val="22"/>
          <w:highlight w:val="none"/>
        </w:rPr>
      </w:pPr>
    </w:p>
    <w:p>
      <w:pPr>
        <w:snapToGrid w:val="0"/>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第六部分   评标原则及方法</w:t>
      </w:r>
    </w:p>
    <w:p>
      <w:pPr>
        <w:pStyle w:val="10"/>
        <w:adjustRightInd w:val="0"/>
        <w:snapToGrid w:val="0"/>
        <w:spacing w:after="0"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pPr>
        <w:numPr>
          <w:ilvl w:val="0"/>
          <w:numId w:val="10"/>
        </w:num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总  则</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二.评标组织</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评标工作由采购人依法组建的评标委员会负责，评标全过程由有关部门指导监督。</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三.评标程序</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标委员会对合格投标人进行符合性审查，对审查通过的商务和技术文件进行评审；商务和技术文件评审结束之后对报价文件评审，综合评审结果，提交评审报告。</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四.评标办法</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本评标办法采用百分制综合评分法。最大限度地满足招标文件中规定的各项综合评价标准且综合得分最高的投标人，将被推荐为中标候选人。</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评分细则</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1.商务和技术分的评定（70分）</w:t>
      </w:r>
    </w:p>
    <w:p>
      <w:pPr>
        <w:pStyle w:val="56"/>
        <w:keepNext w:val="0"/>
        <w:keepLines w:val="0"/>
        <w:pageBreakBefore w:val="0"/>
        <w:kinsoku/>
        <w:wordWrap/>
        <w:overflowPunct/>
        <w:topLinePunct w:val="0"/>
        <w:bidi w:val="0"/>
        <w:snapToGrid/>
        <w:spacing w:line="360" w:lineRule="exact"/>
        <w:ind w:firstLine="440"/>
        <w:textAlignment w:val="auto"/>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算术平均值为各投标人商务和技术分得分（小数点后按四舍五入保留2位）。</w:t>
      </w:r>
    </w:p>
    <w:tbl>
      <w:tblPr>
        <w:tblStyle w:val="2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244"/>
        <w:gridCol w:w="76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
                <w:bCs/>
                <w:color w:val="auto"/>
                <w:sz w:val="22"/>
                <w:highlight w:val="none"/>
              </w:rPr>
            </w:pPr>
            <w:r>
              <w:rPr>
                <w:rFonts w:hint="eastAsia" w:ascii="宋体" w:hAnsi="宋体" w:cs="宋体"/>
                <w:b/>
                <w:bCs/>
                <w:color w:val="auto"/>
                <w:sz w:val="22"/>
                <w:highlight w:val="none"/>
              </w:rPr>
              <w:t>序号</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
                <w:bCs/>
                <w:color w:val="auto"/>
                <w:sz w:val="22"/>
                <w:highlight w:val="none"/>
              </w:rPr>
            </w:pPr>
            <w:r>
              <w:rPr>
                <w:rFonts w:hint="eastAsia" w:ascii="宋体" w:hAnsi="宋体" w:cs="宋体"/>
                <w:b/>
                <w:bCs/>
                <w:color w:val="auto"/>
                <w:sz w:val="22"/>
                <w:highlight w:val="none"/>
              </w:rPr>
              <w:t>评分项目</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
                <w:bCs/>
                <w:color w:val="auto"/>
                <w:sz w:val="22"/>
                <w:highlight w:val="none"/>
              </w:rPr>
            </w:pPr>
            <w:r>
              <w:rPr>
                <w:rFonts w:hint="eastAsia" w:ascii="宋体" w:hAnsi="宋体" w:cs="宋体"/>
                <w:b/>
                <w:bCs/>
                <w:color w:val="auto"/>
                <w:sz w:val="22"/>
                <w:highlight w:val="none"/>
              </w:rPr>
              <w:t>分值</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
                <w:bCs/>
                <w:color w:val="auto"/>
                <w:sz w:val="22"/>
                <w:highlight w:val="none"/>
              </w:rPr>
            </w:pPr>
            <w:r>
              <w:rPr>
                <w:rFonts w:hint="eastAsia" w:ascii="宋体" w:hAnsi="宋体" w:cs="宋体"/>
                <w:b/>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color w:val="auto"/>
                <w:sz w:val="22"/>
                <w:highlight w:val="none"/>
              </w:rPr>
            </w:pPr>
            <w:r>
              <w:rPr>
                <w:rFonts w:hint="eastAsia" w:ascii="宋体" w:hAnsi="宋体" w:cs="宋体"/>
                <w:color w:val="auto"/>
                <w:sz w:val="22"/>
                <w:highlight w:val="none"/>
              </w:rPr>
              <w:t>1</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hAnsi="宋体" w:cs="宋体"/>
                <w:color w:val="auto"/>
                <w:sz w:val="22"/>
                <w:highlight w:val="none"/>
              </w:rPr>
            </w:pPr>
            <w:r>
              <w:rPr>
                <w:rFonts w:hint="eastAsia" w:ascii="宋体" w:hAnsi="宋体" w:cs="宋体"/>
                <w:color w:val="auto"/>
                <w:sz w:val="22"/>
                <w:highlight w:val="none"/>
              </w:rPr>
              <w:t>政策功能：</w:t>
            </w:r>
          </w:p>
          <w:p>
            <w:pPr>
              <w:keepNext w:val="0"/>
              <w:keepLines w:val="0"/>
              <w:pageBreakBefore w:val="0"/>
              <w:widowControl/>
              <w:kinsoku/>
              <w:wordWrap/>
              <w:overflowPunct/>
              <w:topLinePunct w:val="0"/>
              <w:bidi w:val="0"/>
              <w:snapToGrid/>
              <w:spacing w:line="360" w:lineRule="exact"/>
              <w:jc w:val="left"/>
              <w:textAlignment w:val="auto"/>
              <w:rPr>
                <w:rFonts w:ascii="宋体" w:hAnsi="宋体" w:cs="宋体"/>
                <w:color w:val="auto"/>
                <w:sz w:val="22"/>
                <w:highlight w:val="none"/>
              </w:rPr>
            </w:pPr>
            <w:r>
              <w:rPr>
                <w:rFonts w:hint="eastAsia" w:ascii="宋体" w:hAnsi="宋体" w:cs="宋体"/>
                <w:color w:val="auto"/>
                <w:sz w:val="22"/>
                <w:highlight w:val="none"/>
              </w:rPr>
              <w:t>1.投标产品属于政府采购品目清单范围且提供国家确定的认证机构出具的处于有效期之内的节能产品认证证书，每项产品得.0.5分，最高得0.5分（投标产品属于节能产品政府采购品目清单中强制采购的除外）。</w:t>
            </w:r>
            <w:r>
              <w:rPr>
                <w:rFonts w:hint="eastAsia" w:ascii="宋体" w:hAnsi="宋体" w:cs="宋体"/>
                <w:color w:val="auto"/>
                <w:sz w:val="22"/>
                <w:highlight w:val="none"/>
              </w:rPr>
              <w:br w:type="textWrapping"/>
            </w:r>
            <w:r>
              <w:rPr>
                <w:rFonts w:hint="eastAsia" w:ascii="宋体" w:hAnsi="宋体" w:cs="宋体"/>
                <w:color w:val="auto"/>
                <w:sz w:val="22"/>
                <w:highlight w:val="none"/>
              </w:rPr>
              <w:t>2.投标产品属于政府采购品目清单范围且提供国家确定的认证机构出具的处于有效期之内的环境标志产品认证证书，每项产品得0.5分，最高得0.5分。</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color w:val="auto"/>
                <w:kern w:val="0"/>
                <w:sz w:val="22"/>
                <w:highlight w:val="none"/>
              </w:rPr>
            </w:pPr>
            <w:r>
              <w:rPr>
                <w:rFonts w:hint="eastAsia" w:ascii="宋体" w:hAnsi="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color w:val="auto"/>
                <w:sz w:val="22"/>
                <w:highlight w:val="none"/>
              </w:rPr>
            </w:pPr>
            <w:r>
              <w:rPr>
                <w:rFonts w:hint="eastAsia" w:ascii="宋体" w:hAnsi="宋体" w:cs="宋体"/>
                <w:bCs/>
                <w:color w:val="auto"/>
                <w:sz w:val="22"/>
                <w:highlight w:val="none"/>
              </w:rPr>
              <w:t>2</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同类项目实施经验：投标人自2019年</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1月</w:t>
            </w:r>
            <w:r>
              <w:rPr>
                <w:rFonts w:hint="eastAsia" w:ascii="宋体" w:hAnsi="宋体" w:cs="宋体"/>
                <w:color w:val="auto"/>
                <w:sz w:val="22"/>
                <w:highlight w:val="none"/>
                <w:lang w:val="en-US" w:eastAsia="zh-CN"/>
              </w:rPr>
              <w:t>0</w:t>
            </w:r>
            <w:r>
              <w:rPr>
                <w:rFonts w:hint="eastAsia" w:ascii="宋体" w:hAnsi="宋体" w:cs="宋体"/>
                <w:color w:val="auto"/>
                <w:sz w:val="22"/>
                <w:highlight w:val="none"/>
              </w:rPr>
              <w:t>1日</w:t>
            </w:r>
            <w:r>
              <w:rPr>
                <w:rFonts w:hint="eastAsia" w:ascii="宋体" w:hAnsi="宋体" w:cs="宋体"/>
                <w:color w:val="auto"/>
                <w:sz w:val="22"/>
                <w:highlight w:val="none"/>
                <w:lang w:eastAsia="zh-CN"/>
              </w:rPr>
              <w:t>至本项目投标截止时间止</w:t>
            </w:r>
            <w:r>
              <w:rPr>
                <w:rFonts w:hint="eastAsia" w:ascii="宋体" w:hAnsi="宋体" w:cs="宋体"/>
                <w:color w:val="auto"/>
                <w:sz w:val="22"/>
                <w:highlight w:val="none"/>
              </w:rPr>
              <w:t>（以合同签订时间为准）同类项目合同：每提供一个有效合同得1分，最高得</w:t>
            </w:r>
            <w:r>
              <w:rPr>
                <w:rFonts w:ascii="宋体" w:hAnsi="宋体" w:cs="宋体"/>
                <w:color w:val="auto"/>
                <w:sz w:val="22"/>
                <w:highlight w:val="none"/>
              </w:rPr>
              <w:t>3</w:t>
            </w:r>
            <w:r>
              <w:rPr>
                <w:rFonts w:hint="eastAsia" w:ascii="宋体" w:hAnsi="宋体" w:cs="宋体"/>
                <w:color w:val="auto"/>
                <w:sz w:val="22"/>
                <w:highlight w:val="none"/>
              </w:rPr>
              <w:t>分。</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color w:val="auto"/>
                <w:kern w:val="0"/>
                <w:sz w:val="22"/>
                <w:highlight w:val="none"/>
              </w:rPr>
            </w:pPr>
            <w:r>
              <w:rPr>
                <w:rFonts w:hint="eastAsia" w:ascii="宋体" w:hAnsi="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color w:val="auto"/>
                <w:sz w:val="22"/>
                <w:highlight w:val="none"/>
              </w:rPr>
            </w:pPr>
            <w:r>
              <w:rPr>
                <w:rFonts w:hint="eastAsia" w:ascii="宋体" w:hAnsi="宋体" w:cs="宋体"/>
                <w:bCs/>
                <w:color w:val="auto"/>
                <w:sz w:val="22"/>
                <w:highlight w:val="none"/>
              </w:rPr>
              <w:t>3</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lang w:val="en-US" w:eastAsia="zh-CN"/>
              </w:rPr>
              <w:t>针对本项目拟</w:t>
            </w:r>
            <w:r>
              <w:rPr>
                <w:rFonts w:hint="eastAsia" w:ascii="宋体" w:hAnsi="宋体" w:cs="宋体"/>
                <w:color w:val="auto"/>
                <w:sz w:val="22"/>
                <w:highlight w:val="none"/>
              </w:rPr>
              <w:t>投入人员：</w:t>
            </w:r>
          </w:p>
          <w:p>
            <w:pPr>
              <w:keepNext w:val="0"/>
              <w:keepLines w:val="0"/>
              <w:pageBreakBefore w:val="0"/>
              <w:kinsoku/>
              <w:wordWrap/>
              <w:overflowPunct/>
              <w:topLinePunct w:val="0"/>
              <w:bidi w:val="0"/>
              <w:snapToGrid/>
              <w:spacing w:line="360" w:lineRule="exact"/>
              <w:textAlignment w:val="auto"/>
              <w:rPr>
                <w:rFonts w:hint="eastAsia" w:ascii="宋体" w:hAnsi="宋体" w:cs="宋体"/>
                <w:color w:val="auto"/>
                <w:sz w:val="22"/>
                <w:highlight w:val="none"/>
              </w:rPr>
            </w:pPr>
            <w:r>
              <w:rPr>
                <w:rFonts w:hint="eastAsia" w:ascii="宋体" w:hAnsi="宋体" w:cs="宋体"/>
                <w:color w:val="auto"/>
                <w:sz w:val="22"/>
                <w:highlight w:val="none"/>
              </w:rPr>
              <w:t>1.项目负责人持有IT服务项目经理证书、高级信息系统项目管理师证书、通信与广电工程建造师证书，每本证书1分；有类似业绩经历的，提供证明材料得1分。本项共4分。</w:t>
            </w:r>
          </w:p>
          <w:p>
            <w:pPr>
              <w:keepNext w:val="0"/>
              <w:keepLines w:val="0"/>
              <w:pageBreakBefore w:val="0"/>
              <w:kinsoku/>
              <w:wordWrap/>
              <w:overflowPunct/>
              <w:topLinePunct w:val="0"/>
              <w:bidi w:val="0"/>
              <w:snapToGrid/>
              <w:spacing w:line="360" w:lineRule="exact"/>
              <w:textAlignment w:val="auto"/>
              <w:rPr>
                <w:rFonts w:hint="eastAsia" w:ascii="宋体" w:hAnsi="宋体" w:cs="宋体"/>
                <w:color w:val="auto"/>
                <w:sz w:val="22"/>
                <w:highlight w:val="none"/>
              </w:rPr>
            </w:pPr>
            <w:r>
              <w:rPr>
                <w:rFonts w:hint="eastAsia" w:ascii="宋体" w:hAnsi="宋体" w:cs="宋体"/>
                <w:color w:val="auto"/>
                <w:sz w:val="22"/>
                <w:highlight w:val="none"/>
              </w:rPr>
              <w:t>2.项目团队成员（除项目负责人）持有应用电子专业工程师证书、PMP</w:t>
            </w:r>
            <w:r>
              <w:rPr>
                <w:rFonts w:hint="eastAsia" w:ascii="宋体" w:hAnsi="宋体" w:cs="宋体"/>
                <w:color w:val="auto"/>
                <w:sz w:val="22"/>
                <w:highlight w:val="none"/>
                <w:lang w:val="en-US" w:eastAsia="zh-CN"/>
              </w:rPr>
              <w:t>或C</w:t>
            </w:r>
            <w:r>
              <w:rPr>
                <w:rFonts w:hint="eastAsia" w:ascii="宋体" w:hAnsi="宋体" w:cs="宋体"/>
                <w:color w:val="auto"/>
                <w:sz w:val="22"/>
                <w:highlight w:val="none"/>
              </w:rPr>
              <w:t>PMP证书、网络工程师证书的，每本证书1分。本项共3分。</w:t>
            </w:r>
          </w:p>
          <w:p>
            <w:pPr>
              <w:pStyle w:val="2"/>
              <w:keepNext w:val="0"/>
              <w:keepLines w:val="0"/>
              <w:pageBreakBefore w:val="0"/>
              <w:kinsoku/>
              <w:wordWrap/>
              <w:overflowPunct/>
              <w:topLinePunct w:val="0"/>
              <w:bidi w:val="0"/>
              <w:snapToGrid/>
              <w:spacing w:line="360" w:lineRule="exact"/>
              <w:textAlignment w:val="auto"/>
              <w:rPr>
                <w:color w:val="auto"/>
                <w:highlight w:val="none"/>
              </w:rPr>
            </w:pPr>
            <w:r>
              <w:rPr>
                <w:rFonts w:hint="eastAsia" w:ascii="宋体" w:hAnsi="宋体" w:cs="宋体"/>
                <w:color w:val="auto"/>
                <w:sz w:val="22"/>
                <w:highlight w:val="none"/>
              </w:rPr>
              <w:t>注：</w:t>
            </w:r>
            <w:r>
              <w:rPr>
                <w:rFonts w:hint="eastAsia" w:ascii="宋体" w:hAnsi="宋体" w:eastAsia="宋体" w:cs="宋体"/>
                <w:smallCaps w:val="0"/>
                <w:color w:val="auto"/>
                <w:sz w:val="22"/>
                <w:szCs w:val="22"/>
                <w:highlight w:val="none"/>
                <w:lang w:val="en-US" w:eastAsia="zh-CN"/>
              </w:rPr>
              <w:t>以上提供要求的证明材料和人员所在单位正式员工的证明材料（承诺、劳务合同或社保证明均可）两者缺一不可，否则对应性不得分</w:t>
            </w:r>
            <w:r>
              <w:rPr>
                <w:rFonts w:hint="eastAsia" w:ascii="宋体" w:hAnsi="宋体" w:eastAsia="宋体" w:cs="宋体"/>
                <w:smallCaps w:val="0"/>
                <w:color w:val="auto"/>
                <w:sz w:val="22"/>
                <w:szCs w:val="22"/>
                <w:highlight w:val="none"/>
              </w:rPr>
              <w:t>。</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z w:val="22"/>
                <w:highlight w:val="none"/>
              </w:rPr>
            </w:pPr>
            <w:r>
              <w:rPr>
                <w:rFonts w:hint="eastAsia" w:ascii="宋体" w:hAnsi="宋体" w:cs="宋体"/>
                <w:color w:val="auto"/>
                <w:sz w:val="22"/>
                <w:highlight w:val="none"/>
              </w:rPr>
              <w:t>7分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color w:val="auto"/>
                <w:sz w:val="22"/>
                <w:highlight w:val="none"/>
              </w:rPr>
            </w:pPr>
            <w:r>
              <w:rPr>
                <w:rFonts w:hint="eastAsia" w:ascii="宋体" w:hAnsi="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color w:val="auto"/>
                <w:sz w:val="22"/>
                <w:highlight w:val="none"/>
              </w:rPr>
            </w:pPr>
            <w:r>
              <w:rPr>
                <w:rFonts w:ascii="宋体" w:hAnsi="宋体" w:cs="宋体"/>
                <w:bCs/>
                <w:color w:val="auto"/>
                <w:sz w:val="22"/>
                <w:highlight w:val="none"/>
              </w:rPr>
              <w:t>4</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技术</w:t>
            </w:r>
            <w:r>
              <w:rPr>
                <w:rFonts w:hint="eastAsia" w:ascii="宋体" w:hAnsi="宋体" w:cs="宋体"/>
                <w:color w:val="auto"/>
                <w:sz w:val="22"/>
                <w:highlight w:val="none"/>
                <w:lang w:eastAsia="zh-CN"/>
              </w:rPr>
              <w:t>要求响应程度</w:t>
            </w:r>
            <w:r>
              <w:rPr>
                <w:rFonts w:hint="eastAsia" w:ascii="宋体" w:hAnsi="宋体" w:cs="宋体"/>
                <w:color w:val="auto"/>
                <w:sz w:val="22"/>
                <w:highlight w:val="none"/>
              </w:rPr>
              <w:t>：</w:t>
            </w:r>
          </w:p>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不符合（负偏离）技术要求中标注“▲且加下划线”条款（不可偏离）的投标无效。满足招标文件明确的全部技术要求的得满分：评审小组根据参数应答和提供参数中所要求的证明材料情况进行评分，评分要求如下：</w:t>
            </w:r>
          </w:p>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1. 带“★”的要求为重要技术指标指标负偏离或不能提供所要求的证明材料的每负偏离一项扣</w:t>
            </w:r>
            <w:r>
              <w:rPr>
                <w:rFonts w:hint="eastAsia" w:ascii="宋体" w:hAnsi="宋体" w:cs="宋体"/>
                <w:color w:val="auto"/>
                <w:sz w:val="22"/>
                <w:highlight w:val="none"/>
                <w:lang w:val="en-US" w:eastAsia="zh-CN"/>
              </w:rPr>
              <w:t>1.5</w:t>
            </w:r>
            <w:r>
              <w:rPr>
                <w:rFonts w:hint="eastAsia" w:ascii="宋体" w:hAnsi="宋体" w:cs="宋体"/>
                <w:color w:val="auto"/>
                <w:sz w:val="22"/>
                <w:highlight w:val="none"/>
              </w:rPr>
              <w:t>分，</w:t>
            </w:r>
            <w:r>
              <w:rPr>
                <w:rFonts w:hint="eastAsia" w:ascii="宋体" w:hAnsi="宋体" w:cs="宋体"/>
                <w:color w:val="auto"/>
                <w:sz w:val="22"/>
                <w:highlight w:val="none"/>
                <w:lang w:val="en-US" w:eastAsia="zh-CN"/>
              </w:rPr>
              <w:t>15</w:t>
            </w:r>
            <w:r>
              <w:rPr>
                <w:rFonts w:hint="eastAsia" w:ascii="宋体" w:hAnsi="宋体" w:cs="宋体"/>
                <w:color w:val="auto"/>
                <w:sz w:val="22"/>
                <w:highlight w:val="none"/>
              </w:rPr>
              <w:t>分扣完为止。（</w:t>
            </w:r>
            <w:r>
              <w:rPr>
                <w:rFonts w:hint="eastAsia" w:ascii="宋体" w:hAnsi="宋体" w:cs="宋体"/>
                <w:color w:val="auto"/>
                <w:sz w:val="22"/>
                <w:highlight w:val="none"/>
                <w:lang w:val="en-US" w:eastAsia="zh-CN"/>
              </w:rPr>
              <w:t>15</w:t>
            </w:r>
            <w:r>
              <w:rPr>
                <w:rFonts w:hint="eastAsia" w:ascii="宋体" w:hAnsi="宋体" w:cs="宋体"/>
                <w:color w:val="auto"/>
                <w:sz w:val="22"/>
                <w:highlight w:val="none"/>
              </w:rPr>
              <w:t>分）</w:t>
            </w:r>
          </w:p>
          <w:p>
            <w:pPr>
              <w:keepNext w:val="0"/>
              <w:keepLines w:val="0"/>
              <w:pageBreakBefore w:val="0"/>
              <w:kinsoku/>
              <w:wordWrap/>
              <w:overflowPunct/>
              <w:topLinePunct w:val="0"/>
              <w:bidi w:val="0"/>
              <w:snapToGrid/>
              <w:spacing w:line="360" w:lineRule="exact"/>
              <w:textAlignment w:val="auto"/>
              <w:rPr>
                <w:rFonts w:ascii="宋体" w:hAnsi="宋体" w:cs="宋体"/>
                <w:color w:val="auto"/>
                <w:kern w:val="0"/>
                <w:sz w:val="22"/>
                <w:highlight w:val="none"/>
              </w:rPr>
            </w:pPr>
            <w:r>
              <w:rPr>
                <w:rFonts w:hint="eastAsia" w:ascii="宋体" w:hAnsi="宋体" w:cs="宋体"/>
                <w:color w:val="auto"/>
                <w:sz w:val="22"/>
                <w:highlight w:val="none"/>
              </w:rPr>
              <w:t>2.非带“★”的指标要求为一般技术条款，负偏离不超过</w:t>
            </w:r>
            <w:r>
              <w:rPr>
                <w:rFonts w:hint="eastAsia" w:ascii="宋体" w:hAnsi="宋体" w:cs="宋体"/>
                <w:color w:val="auto"/>
                <w:sz w:val="22"/>
                <w:highlight w:val="none"/>
                <w:lang w:val="en-US" w:eastAsia="zh-CN"/>
              </w:rPr>
              <w:t>20</w:t>
            </w:r>
            <w:r>
              <w:rPr>
                <w:rFonts w:hint="eastAsia" w:ascii="宋体" w:hAnsi="宋体" w:cs="宋体"/>
                <w:color w:val="auto"/>
                <w:sz w:val="22"/>
                <w:highlight w:val="none"/>
              </w:rPr>
              <w:t>条的，每条扣</w:t>
            </w:r>
            <w:r>
              <w:rPr>
                <w:rFonts w:hint="eastAsia" w:ascii="宋体" w:hAnsi="宋体" w:cs="宋体"/>
                <w:color w:val="auto"/>
                <w:sz w:val="22"/>
                <w:highlight w:val="none"/>
                <w:lang w:val="en-US" w:eastAsia="zh-CN"/>
              </w:rPr>
              <w:t>0.5</w:t>
            </w:r>
            <w:r>
              <w:rPr>
                <w:rFonts w:hint="eastAsia" w:ascii="宋体" w:hAnsi="宋体" w:cs="宋体"/>
                <w:color w:val="auto"/>
                <w:sz w:val="22"/>
                <w:highlight w:val="none"/>
              </w:rPr>
              <w:t>分；负偏离超过</w:t>
            </w:r>
            <w:r>
              <w:rPr>
                <w:rFonts w:hint="eastAsia" w:ascii="宋体" w:hAnsi="宋体" w:cs="宋体"/>
                <w:color w:val="auto"/>
                <w:sz w:val="22"/>
                <w:highlight w:val="none"/>
                <w:lang w:val="en-US" w:eastAsia="zh-CN"/>
              </w:rPr>
              <w:t>20</w:t>
            </w:r>
            <w:r>
              <w:rPr>
                <w:rFonts w:hint="eastAsia" w:ascii="宋体" w:hAnsi="宋体" w:cs="宋体"/>
                <w:color w:val="auto"/>
                <w:sz w:val="22"/>
                <w:highlight w:val="none"/>
              </w:rPr>
              <w:t>条的扣</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分。（</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分）</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z w:val="22"/>
                <w:highlight w:val="none"/>
              </w:rPr>
            </w:pPr>
            <w:r>
              <w:rPr>
                <w:rFonts w:ascii="宋体" w:hAnsi="宋体" w:cs="宋体"/>
                <w:color w:val="auto"/>
                <w:sz w:val="22"/>
                <w:highlight w:val="none"/>
              </w:rPr>
              <w:t>25</w:t>
            </w:r>
            <w:r>
              <w:rPr>
                <w:rFonts w:hint="eastAsia" w:ascii="宋体" w:hAnsi="宋体" w:cs="宋体"/>
                <w:color w:val="auto"/>
                <w:sz w:val="22"/>
                <w:highlight w:val="none"/>
              </w:rPr>
              <w:t>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color w:val="auto"/>
                <w:kern w:val="0"/>
                <w:sz w:val="22"/>
                <w:highlight w:val="none"/>
              </w:rPr>
            </w:pPr>
            <w:r>
              <w:rPr>
                <w:rFonts w:hint="eastAsia" w:ascii="宋体" w:hAnsi="宋体" w:cs="宋体"/>
                <w:color w:val="auto"/>
                <w:sz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color w:val="auto"/>
                <w:sz w:val="22"/>
                <w:highlight w:val="none"/>
              </w:rPr>
            </w:pPr>
            <w:r>
              <w:rPr>
                <w:rFonts w:ascii="宋体" w:hAnsi="宋体" w:cs="宋体"/>
                <w:bCs/>
                <w:color w:val="auto"/>
                <w:sz w:val="22"/>
                <w:highlight w:val="none"/>
              </w:rPr>
              <w:t>5</w:t>
            </w:r>
          </w:p>
        </w:tc>
        <w:tc>
          <w:tcPr>
            <w:tcW w:w="724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产品功能配置情况：</w:t>
            </w:r>
          </w:p>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投标产品的总体配置和功能的先进性、完整性和适用性情况。(1)先进性、完整性和适用性强的得5分；(2)先进性、完整性和适用性较强的得4分；(3)先进性、完整性和适用性一般的得2.5分；(4)先进性、完整性和适用性不强的得1分；(5)不提供不得分。</w:t>
            </w:r>
          </w:p>
        </w:tc>
        <w:tc>
          <w:tcPr>
            <w:tcW w:w="76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color w:val="auto"/>
                <w:sz w:val="22"/>
                <w:highlight w:val="none"/>
              </w:rPr>
            </w:pPr>
            <w:r>
              <w:rPr>
                <w:rFonts w:hint="eastAsia" w:ascii="宋体" w:hAnsi="宋体" w:cs="宋体"/>
                <w:color w:val="auto"/>
                <w:sz w:val="22"/>
                <w:highlight w:val="none"/>
              </w:rPr>
              <w:t>5分</w:t>
            </w:r>
          </w:p>
        </w:tc>
        <w:tc>
          <w:tcPr>
            <w:tcW w:w="94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color w:val="auto"/>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color w:val="auto"/>
                <w:sz w:val="22"/>
                <w:highlight w:val="none"/>
              </w:rPr>
            </w:pPr>
            <w:r>
              <w:rPr>
                <w:rFonts w:ascii="宋体" w:hAnsi="宋体" w:cs="宋体"/>
                <w:bCs/>
                <w:color w:val="auto"/>
                <w:sz w:val="22"/>
                <w:highlight w:val="none"/>
              </w:rPr>
              <w:t>6</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视频演示：详见演示评分细则</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z w:val="22"/>
                <w:highlight w:val="none"/>
              </w:rPr>
            </w:pPr>
            <w:r>
              <w:rPr>
                <w:rFonts w:ascii="宋体" w:hAnsi="宋体" w:cs="宋体"/>
                <w:color w:val="auto"/>
                <w:sz w:val="22"/>
                <w:highlight w:val="none"/>
              </w:rPr>
              <w:t>15</w:t>
            </w:r>
            <w:r>
              <w:rPr>
                <w:rFonts w:hint="eastAsia" w:ascii="宋体" w:hAnsi="宋体" w:cs="宋体"/>
                <w:color w:val="auto"/>
                <w:sz w:val="22"/>
                <w:highlight w:val="none"/>
              </w:rPr>
              <w:t>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color w:val="auto"/>
                <w:kern w:val="0"/>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color w:val="auto"/>
                <w:sz w:val="22"/>
                <w:highlight w:val="none"/>
              </w:rPr>
            </w:pPr>
            <w:r>
              <w:rPr>
                <w:rFonts w:ascii="宋体" w:hAnsi="宋体" w:cs="宋体"/>
                <w:bCs/>
                <w:color w:val="auto"/>
                <w:sz w:val="22"/>
                <w:highlight w:val="none"/>
              </w:rPr>
              <w:t>7</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olor w:val="auto"/>
                <w:sz w:val="22"/>
                <w:highlight w:val="none"/>
              </w:rPr>
              <w:t>投标人培训方案、地点、组织、软硬件资料等内容是否完整、科学合理。</w:t>
            </w:r>
            <w:r>
              <w:rPr>
                <w:rFonts w:hint="eastAsia" w:ascii="宋体" w:hAnsi="宋体" w:cs="宋体"/>
                <w:color w:val="auto"/>
                <w:sz w:val="22"/>
                <w:highlight w:val="none"/>
              </w:rPr>
              <w:t>(1)</w:t>
            </w:r>
            <w:r>
              <w:rPr>
                <w:rFonts w:hint="eastAsia" w:ascii="宋体" w:hAnsi="宋体"/>
                <w:color w:val="auto"/>
                <w:sz w:val="22"/>
                <w:highlight w:val="none"/>
              </w:rPr>
              <w:t>方案完整、科学合理性强的得</w:t>
            </w:r>
            <w:r>
              <w:rPr>
                <w:rFonts w:ascii="宋体" w:hAnsi="宋体" w:cs="宋体"/>
                <w:color w:val="auto"/>
                <w:sz w:val="22"/>
                <w:highlight w:val="none"/>
              </w:rPr>
              <w:t>3</w:t>
            </w:r>
            <w:r>
              <w:rPr>
                <w:rFonts w:hint="eastAsia" w:ascii="宋体" w:hAnsi="宋体"/>
                <w:color w:val="auto"/>
                <w:sz w:val="22"/>
                <w:highlight w:val="none"/>
              </w:rPr>
              <w:t>分；</w:t>
            </w:r>
            <w:r>
              <w:rPr>
                <w:rFonts w:hint="eastAsia" w:ascii="宋体" w:hAnsi="宋体" w:cs="宋体"/>
                <w:color w:val="auto"/>
                <w:sz w:val="22"/>
                <w:highlight w:val="none"/>
              </w:rPr>
              <w:t>(2)</w:t>
            </w:r>
            <w:r>
              <w:rPr>
                <w:rFonts w:hint="eastAsia" w:ascii="宋体" w:hAnsi="宋体"/>
                <w:color w:val="auto"/>
                <w:sz w:val="22"/>
                <w:highlight w:val="none"/>
              </w:rPr>
              <w:t>计划</w:t>
            </w:r>
            <w:r>
              <w:rPr>
                <w:rFonts w:hint="eastAsia" w:ascii="宋体" w:hAnsi="宋体"/>
                <w:color w:val="auto"/>
                <w:sz w:val="22"/>
                <w:highlight w:val="none"/>
                <w:lang w:eastAsia="zh-CN"/>
              </w:rPr>
              <w:t>比较</w:t>
            </w:r>
            <w:r>
              <w:rPr>
                <w:rFonts w:hint="eastAsia" w:ascii="宋体" w:hAnsi="宋体"/>
                <w:color w:val="auto"/>
                <w:sz w:val="22"/>
                <w:highlight w:val="none"/>
              </w:rPr>
              <w:t>完整、科学合理性较强的得</w:t>
            </w:r>
            <w:r>
              <w:rPr>
                <w:rFonts w:hint="eastAsia" w:ascii="宋体" w:hAnsi="宋体"/>
                <w:color w:val="auto"/>
                <w:sz w:val="22"/>
                <w:highlight w:val="none"/>
                <w:lang w:val="en-US" w:eastAsia="zh-CN"/>
              </w:rPr>
              <w:t>2</w:t>
            </w:r>
            <w:r>
              <w:rPr>
                <w:rFonts w:hint="eastAsia" w:ascii="宋体" w:hAnsi="宋体"/>
                <w:color w:val="auto"/>
                <w:sz w:val="22"/>
                <w:highlight w:val="none"/>
              </w:rPr>
              <w:t>分；</w:t>
            </w:r>
            <w:r>
              <w:rPr>
                <w:rFonts w:hint="eastAsia" w:ascii="宋体" w:hAnsi="宋体" w:cs="宋体"/>
                <w:color w:val="auto"/>
                <w:sz w:val="22"/>
                <w:highlight w:val="none"/>
              </w:rPr>
              <w:t>(3)</w:t>
            </w:r>
            <w:r>
              <w:rPr>
                <w:rFonts w:hint="eastAsia" w:ascii="宋体" w:hAnsi="宋体"/>
                <w:color w:val="auto"/>
                <w:sz w:val="22"/>
                <w:highlight w:val="none"/>
              </w:rPr>
              <w:t>计划</w:t>
            </w:r>
            <w:r>
              <w:rPr>
                <w:rFonts w:hint="eastAsia" w:ascii="宋体" w:hAnsi="宋体"/>
                <w:color w:val="auto"/>
                <w:sz w:val="22"/>
                <w:highlight w:val="none"/>
                <w:lang w:eastAsia="zh-CN"/>
              </w:rPr>
              <w:t>一般</w:t>
            </w:r>
            <w:r>
              <w:rPr>
                <w:rFonts w:hint="eastAsia" w:ascii="宋体" w:hAnsi="宋体"/>
                <w:color w:val="auto"/>
                <w:sz w:val="22"/>
                <w:highlight w:val="none"/>
              </w:rPr>
              <w:t>、科学合理性一般的得</w:t>
            </w:r>
            <w:r>
              <w:rPr>
                <w:rFonts w:hint="eastAsia" w:ascii="宋体" w:hAnsi="宋体" w:cs="宋体"/>
                <w:color w:val="auto"/>
                <w:sz w:val="22"/>
                <w:highlight w:val="none"/>
                <w:lang w:val="en-US" w:eastAsia="zh-CN"/>
              </w:rPr>
              <w:t>1</w:t>
            </w:r>
            <w:r>
              <w:rPr>
                <w:rFonts w:hint="eastAsia" w:ascii="宋体" w:hAnsi="宋体"/>
                <w:color w:val="auto"/>
                <w:sz w:val="22"/>
                <w:highlight w:val="none"/>
              </w:rPr>
              <w:t>分；</w:t>
            </w:r>
            <w:r>
              <w:rPr>
                <w:rFonts w:hint="eastAsia" w:ascii="宋体" w:hAnsi="宋体" w:cs="宋体"/>
                <w:color w:val="auto"/>
                <w:sz w:val="22"/>
                <w:highlight w:val="none"/>
              </w:rPr>
              <w:t>(4)</w:t>
            </w:r>
            <w:r>
              <w:rPr>
                <w:rFonts w:hint="eastAsia" w:ascii="宋体" w:hAnsi="宋体"/>
                <w:color w:val="auto"/>
                <w:sz w:val="22"/>
                <w:highlight w:val="none"/>
              </w:rPr>
              <w:t>计划</w:t>
            </w:r>
            <w:r>
              <w:rPr>
                <w:rFonts w:hint="eastAsia" w:ascii="宋体" w:hAnsi="宋体"/>
                <w:color w:val="auto"/>
                <w:sz w:val="22"/>
                <w:highlight w:val="none"/>
                <w:lang w:eastAsia="zh-CN"/>
              </w:rPr>
              <w:t>不强</w:t>
            </w:r>
            <w:r>
              <w:rPr>
                <w:rFonts w:hint="eastAsia" w:ascii="宋体" w:hAnsi="宋体"/>
                <w:color w:val="auto"/>
                <w:sz w:val="22"/>
                <w:highlight w:val="none"/>
              </w:rPr>
              <w:t>、</w:t>
            </w:r>
            <w:r>
              <w:rPr>
                <w:rFonts w:hint="eastAsia" w:ascii="宋体" w:hAnsi="宋体"/>
                <w:color w:val="auto"/>
                <w:sz w:val="22"/>
                <w:highlight w:val="none"/>
                <w:lang w:eastAsia="zh-CN"/>
              </w:rPr>
              <w:t>科学合理性</w:t>
            </w:r>
            <w:r>
              <w:rPr>
                <w:rFonts w:hint="eastAsia" w:ascii="宋体" w:hAnsi="宋体" w:cs="宋体"/>
                <w:color w:val="auto"/>
                <w:sz w:val="22"/>
                <w:highlight w:val="none"/>
              </w:rPr>
              <w:t>不强</w:t>
            </w:r>
            <w:r>
              <w:rPr>
                <w:rFonts w:hint="eastAsia" w:ascii="宋体" w:hAnsi="宋体"/>
                <w:color w:val="auto"/>
                <w:sz w:val="22"/>
                <w:highlight w:val="none"/>
              </w:rPr>
              <w:t>的</w:t>
            </w:r>
            <w:r>
              <w:rPr>
                <w:rFonts w:hint="eastAsia" w:ascii="宋体" w:hAnsi="宋体"/>
                <w:color w:val="auto"/>
                <w:sz w:val="22"/>
                <w:highlight w:val="none"/>
                <w:lang w:eastAsia="zh-CN"/>
              </w:rPr>
              <w:t>或</w:t>
            </w:r>
            <w:r>
              <w:rPr>
                <w:rFonts w:hint="eastAsia" w:ascii="宋体" w:hAnsi="宋体" w:cs="宋体"/>
                <w:color w:val="auto"/>
                <w:sz w:val="22"/>
                <w:highlight w:val="none"/>
              </w:rPr>
              <w:t>不提供</w:t>
            </w:r>
            <w:r>
              <w:rPr>
                <w:rFonts w:hint="eastAsia" w:ascii="宋体" w:hAnsi="宋体" w:cs="宋体"/>
                <w:color w:val="auto"/>
                <w:sz w:val="22"/>
                <w:highlight w:val="none"/>
                <w:lang w:eastAsia="zh-CN"/>
              </w:rPr>
              <w:t>的</w:t>
            </w:r>
            <w:r>
              <w:rPr>
                <w:rFonts w:hint="eastAsia" w:ascii="宋体" w:hAnsi="宋体" w:cs="宋体"/>
                <w:color w:val="auto"/>
                <w:sz w:val="22"/>
                <w:highlight w:val="none"/>
              </w:rPr>
              <w:t>不得分。</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z w:val="22"/>
                <w:highlight w:val="none"/>
              </w:rPr>
            </w:pPr>
            <w:r>
              <w:rPr>
                <w:rFonts w:ascii="宋体" w:hAnsi="宋体"/>
                <w:color w:val="auto"/>
                <w:sz w:val="22"/>
                <w:highlight w:val="none"/>
              </w:rPr>
              <w:t>3</w:t>
            </w:r>
            <w:r>
              <w:rPr>
                <w:rFonts w:hint="eastAsia" w:ascii="宋体" w:hAnsi="宋体"/>
                <w:color w:val="auto"/>
                <w:sz w:val="22"/>
                <w:highlight w:val="none"/>
              </w:rPr>
              <w:t>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color w:val="auto"/>
                <w:kern w:val="0"/>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color w:val="auto"/>
                <w:sz w:val="22"/>
                <w:highlight w:val="none"/>
              </w:rPr>
            </w:pPr>
            <w:r>
              <w:rPr>
                <w:rFonts w:ascii="宋体" w:hAnsi="宋体" w:cs="宋体"/>
                <w:bCs/>
                <w:color w:val="auto"/>
                <w:sz w:val="22"/>
                <w:highlight w:val="none"/>
              </w:rPr>
              <w:t>8</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确保供应货物质量的设施及措施：(1)适用性、可行性强的得3分；(2)适用性、可行性</w:t>
            </w:r>
            <w:r>
              <w:rPr>
                <w:rFonts w:hint="eastAsia" w:ascii="宋体" w:hAnsi="宋体"/>
                <w:color w:val="auto"/>
                <w:sz w:val="22"/>
                <w:highlight w:val="none"/>
              </w:rPr>
              <w:t>较强</w:t>
            </w:r>
            <w:r>
              <w:rPr>
                <w:rFonts w:hint="eastAsia" w:ascii="宋体" w:hAnsi="宋体" w:cs="宋体"/>
                <w:color w:val="auto"/>
                <w:sz w:val="22"/>
                <w:highlight w:val="none"/>
              </w:rPr>
              <w:t>的得2分；(3)适用性、可行性</w:t>
            </w:r>
            <w:r>
              <w:rPr>
                <w:rFonts w:hint="eastAsia" w:ascii="宋体" w:hAnsi="宋体" w:cs="宋体"/>
                <w:color w:val="auto"/>
                <w:sz w:val="22"/>
                <w:highlight w:val="none"/>
                <w:lang w:eastAsia="zh-CN"/>
              </w:rPr>
              <w:t>一般</w:t>
            </w:r>
            <w:r>
              <w:rPr>
                <w:rFonts w:hint="eastAsia" w:ascii="宋体" w:hAnsi="宋体" w:cs="宋体"/>
                <w:color w:val="auto"/>
                <w:sz w:val="22"/>
                <w:highlight w:val="none"/>
              </w:rPr>
              <w:t>的得1分；(4)适用性、可行性</w:t>
            </w:r>
            <w:r>
              <w:rPr>
                <w:rFonts w:hint="eastAsia" w:cs="宋体"/>
                <w:color w:val="auto"/>
                <w:sz w:val="22"/>
                <w:highlight w:val="none"/>
                <w:lang w:eastAsia="zh-CN"/>
              </w:rPr>
              <w:t>不强</w:t>
            </w:r>
            <w:r>
              <w:rPr>
                <w:rFonts w:hint="eastAsia" w:ascii="宋体" w:hAnsi="宋体" w:cs="宋体"/>
                <w:color w:val="auto"/>
                <w:sz w:val="22"/>
                <w:highlight w:val="none"/>
                <w:lang w:eastAsia="zh-CN"/>
              </w:rPr>
              <w:t>或</w:t>
            </w:r>
            <w:r>
              <w:rPr>
                <w:rFonts w:hint="eastAsia" w:ascii="宋体" w:hAnsi="宋体" w:cs="宋体"/>
                <w:color w:val="auto"/>
                <w:sz w:val="22"/>
                <w:highlight w:val="none"/>
              </w:rPr>
              <w:t>不提供的不得分。</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z w:val="22"/>
                <w:highlight w:val="none"/>
              </w:rPr>
            </w:pPr>
            <w:r>
              <w:rPr>
                <w:rFonts w:hint="eastAsia" w:ascii="宋体" w:hAnsi="宋体" w:cs="宋体"/>
                <w:color w:val="auto"/>
                <w:sz w:val="22"/>
                <w:highlight w:val="none"/>
              </w:rPr>
              <w:t>3分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color w:val="auto"/>
                <w:kern w:val="0"/>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color w:val="auto"/>
                <w:sz w:val="22"/>
                <w:highlight w:val="none"/>
              </w:rPr>
            </w:pPr>
            <w:r>
              <w:rPr>
                <w:rFonts w:ascii="宋体" w:hAnsi="宋体" w:cs="宋体"/>
                <w:bCs/>
                <w:color w:val="auto"/>
                <w:sz w:val="22"/>
                <w:highlight w:val="none"/>
              </w:rPr>
              <w:t>9</w:t>
            </w:r>
          </w:p>
        </w:tc>
        <w:tc>
          <w:tcPr>
            <w:tcW w:w="7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售后服务承诺：</w:t>
            </w:r>
          </w:p>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售后服务方案、维护人员等情况，以及服务承诺的可行性、完整性以及服务承诺落实的保障措施，能及时提供备品备件及备品备件数量，定期巡检服务承诺，对用户服务响应措施情况等。(1)适用性、可行性强的得5分；(2)适用性、可行性较强的4分；(3)适用性、可行性一般的得2.5分；(4)适用性、可行性不强的得1分；(5)不提供不得分。</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color w:val="auto"/>
                <w:sz w:val="22"/>
                <w:highlight w:val="none"/>
              </w:rPr>
            </w:pPr>
            <w:r>
              <w:rPr>
                <w:rFonts w:hint="eastAsia" w:ascii="宋体" w:hAnsi="宋体" w:cs="宋体"/>
                <w:color w:val="auto"/>
                <w:sz w:val="22"/>
                <w:highlight w:val="none"/>
              </w:rPr>
              <w:t>5分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
                <w:bCs/>
                <w:color w:val="auto"/>
                <w:sz w:val="22"/>
                <w:highlight w:val="none"/>
              </w:rPr>
            </w:pPr>
            <w:r>
              <w:rPr>
                <w:rFonts w:hint="eastAsia" w:ascii="宋体" w:hAnsi="宋体" w:cs="宋体"/>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exact"/>
              <w:jc w:val="center"/>
              <w:textAlignment w:val="auto"/>
              <w:rPr>
                <w:rFonts w:ascii="宋体" w:hAnsi="宋体" w:cs="宋体"/>
                <w:bCs/>
                <w:snapToGrid w:val="0"/>
                <w:color w:val="auto"/>
                <w:kern w:val="0"/>
                <w:sz w:val="22"/>
                <w:highlight w:val="none"/>
              </w:rPr>
            </w:pPr>
            <w:r>
              <w:rPr>
                <w:rFonts w:ascii="宋体" w:hAnsi="宋体" w:cs="宋体"/>
                <w:bCs/>
                <w:snapToGrid w:val="0"/>
                <w:color w:val="auto"/>
                <w:kern w:val="0"/>
                <w:sz w:val="22"/>
                <w:highlight w:val="none"/>
              </w:rPr>
              <w:t>10</w:t>
            </w:r>
          </w:p>
        </w:tc>
        <w:tc>
          <w:tcPr>
            <w:tcW w:w="7244" w:type="dxa"/>
            <w:tcBorders>
              <w:top w:val="single" w:color="auto" w:sz="4" w:space="0"/>
              <w:left w:val="single" w:color="auto" w:sz="4" w:space="0"/>
              <w:bottom w:val="single" w:color="auto" w:sz="4" w:space="0"/>
              <w:right w:val="single" w:color="auto" w:sz="4" w:space="0"/>
            </w:tcBorders>
            <w:vAlign w:val="center"/>
          </w:tcPr>
          <w:p>
            <w:pPr>
              <w:pStyle w:val="79"/>
              <w:keepNext w:val="0"/>
              <w:keepLines w:val="0"/>
              <w:pageBreakBefore w:val="0"/>
              <w:kinsoku/>
              <w:wordWrap/>
              <w:overflowPunct/>
              <w:topLinePunct w:val="0"/>
              <w:bidi w:val="0"/>
              <w:snapToGrid/>
              <w:spacing w:line="360" w:lineRule="exact"/>
              <w:ind w:firstLine="0" w:firstLineChars="0"/>
              <w:textAlignment w:val="auto"/>
              <w:rPr>
                <w:color w:val="auto"/>
                <w:sz w:val="22"/>
                <w:highlight w:val="none"/>
              </w:rPr>
            </w:pPr>
            <w:r>
              <w:rPr>
                <w:rFonts w:hint="eastAsia"/>
                <w:color w:val="auto"/>
                <w:sz w:val="22"/>
                <w:highlight w:val="none"/>
              </w:rPr>
              <w:t>质保期外的服务承诺：</w:t>
            </w:r>
          </w:p>
          <w:p>
            <w:pPr>
              <w:pStyle w:val="79"/>
              <w:keepNext w:val="0"/>
              <w:keepLines w:val="0"/>
              <w:pageBreakBefore w:val="0"/>
              <w:kinsoku/>
              <w:wordWrap/>
              <w:overflowPunct/>
              <w:topLinePunct w:val="0"/>
              <w:bidi w:val="0"/>
              <w:snapToGrid/>
              <w:spacing w:line="360" w:lineRule="exact"/>
              <w:ind w:firstLine="0" w:firstLineChars="0"/>
              <w:textAlignment w:val="auto"/>
              <w:rPr>
                <w:color w:val="auto"/>
                <w:sz w:val="22"/>
                <w:highlight w:val="none"/>
              </w:rPr>
            </w:pPr>
            <w:r>
              <w:rPr>
                <w:rFonts w:hint="eastAsia" w:cs="Times New Roman"/>
                <w:color w:val="auto"/>
                <w:kern w:val="2"/>
                <w:sz w:val="22"/>
                <w:highlight w:val="none"/>
              </w:rPr>
              <w:t>投标人质保期满后的技术支持和维护费用，提供上门维护、升级服务以及给予采购人的各种</w:t>
            </w:r>
            <w:r>
              <w:rPr>
                <w:rFonts w:hint="eastAsia" w:cs="Times New Roman"/>
                <w:color w:val="auto"/>
                <w:highlight w:val="none"/>
              </w:rPr>
              <w:t>各种实质性优惠条款（</w:t>
            </w:r>
            <w:r>
              <w:rPr>
                <w:rFonts w:hint="eastAsia" w:cs="Times New Roman"/>
                <w:color w:val="auto"/>
                <w:kern w:val="2"/>
                <w:sz w:val="22"/>
                <w:highlight w:val="none"/>
              </w:rPr>
              <w:t>包括易损备品备件、专用耗材、人工费等）。</w:t>
            </w:r>
            <w:r>
              <w:rPr>
                <w:rFonts w:hint="eastAsia" w:ascii="宋体" w:hAnsi="宋体" w:cs="宋体"/>
                <w:color w:val="auto"/>
                <w:sz w:val="22"/>
                <w:highlight w:val="none"/>
              </w:rPr>
              <w:t>(1)适用性、可行性强的得3分；(2)适用性、可行性</w:t>
            </w:r>
            <w:r>
              <w:rPr>
                <w:rFonts w:hint="eastAsia" w:ascii="宋体" w:hAnsi="宋体"/>
                <w:color w:val="auto"/>
                <w:sz w:val="22"/>
                <w:highlight w:val="none"/>
              </w:rPr>
              <w:t>较强</w:t>
            </w:r>
            <w:r>
              <w:rPr>
                <w:rFonts w:hint="eastAsia" w:ascii="宋体" w:hAnsi="宋体" w:cs="宋体"/>
                <w:color w:val="auto"/>
                <w:sz w:val="22"/>
                <w:highlight w:val="none"/>
              </w:rPr>
              <w:t>的得2分；(3)适用性、可行性</w:t>
            </w:r>
            <w:r>
              <w:rPr>
                <w:rFonts w:hint="eastAsia" w:ascii="宋体" w:hAnsi="宋体" w:cs="宋体"/>
                <w:color w:val="auto"/>
                <w:sz w:val="22"/>
                <w:highlight w:val="none"/>
                <w:lang w:eastAsia="zh-CN"/>
              </w:rPr>
              <w:t>一般</w:t>
            </w:r>
            <w:r>
              <w:rPr>
                <w:rFonts w:hint="eastAsia" w:ascii="宋体" w:hAnsi="宋体" w:cs="宋体"/>
                <w:color w:val="auto"/>
                <w:sz w:val="22"/>
                <w:highlight w:val="none"/>
              </w:rPr>
              <w:t>的得1分；(4)适用性、可行性</w:t>
            </w:r>
            <w:r>
              <w:rPr>
                <w:rFonts w:hint="eastAsia" w:cs="宋体"/>
                <w:color w:val="auto"/>
                <w:sz w:val="22"/>
                <w:highlight w:val="none"/>
                <w:lang w:eastAsia="zh-CN"/>
              </w:rPr>
              <w:t>不强</w:t>
            </w:r>
            <w:r>
              <w:rPr>
                <w:rFonts w:hint="eastAsia" w:ascii="宋体" w:hAnsi="宋体" w:cs="宋体"/>
                <w:color w:val="auto"/>
                <w:sz w:val="22"/>
                <w:highlight w:val="none"/>
                <w:lang w:eastAsia="zh-CN"/>
              </w:rPr>
              <w:t>或</w:t>
            </w:r>
            <w:r>
              <w:rPr>
                <w:rFonts w:hint="eastAsia" w:ascii="宋体" w:hAnsi="宋体" w:cs="宋体"/>
                <w:color w:val="auto"/>
                <w:sz w:val="22"/>
                <w:highlight w:val="none"/>
              </w:rPr>
              <w:t>不提供的不得分。</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color w:val="auto"/>
                <w:sz w:val="22"/>
                <w:highlight w:val="none"/>
              </w:rPr>
            </w:pPr>
            <w:r>
              <w:rPr>
                <w:rFonts w:hint="eastAsia" w:ascii="宋体" w:hAnsi="宋体"/>
                <w:color w:val="auto"/>
                <w:sz w:val="22"/>
                <w:highlight w:val="none"/>
              </w:rPr>
              <w:t>3分</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color w:val="auto"/>
                <w:kern w:val="0"/>
                <w:sz w:val="22"/>
                <w:highlight w:val="none"/>
              </w:rPr>
            </w:pPr>
            <w:r>
              <w:rPr>
                <w:rFonts w:hint="eastAsia" w:ascii="宋体" w:hAnsi="宋体" w:cs="宋体"/>
                <w:color w:val="auto"/>
                <w:sz w:val="22"/>
                <w:highlight w:val="none"/>
              </w:rPr>
              <w:t>主观分</w:t>
            </w:r>
          </w:p>
        </w:tc>
      </w:tr>
    </w:tbl>
    <w:p>
      <w:pPr>
        <w:keepNext w:val="0"/>
        <w:keepLines w:val="0"/>
        <w:pageBreakBefore w:val="0"/>
        <w:kinsoku/>
        <w:wordWrap/>
        <w:overflowPunct/>
        <w:topLinePunct w:val="0"/>
        <w:bidi w:val="0"/>
        <w:snapToGrid/>
        <w:spacing w:line="360" w:lineRule="exact"/>
        <w:textAlignment w:val="auto"/>
        <w:rPr>
          <w:rFonts w:ascii="宋体" w:hAnsi="宋体" w:cs="宋体"/>
          <w:color w:val="auto"/>
          <w:sz w:val="22"/>
          <w:highlight w:val="none"/>
        </w:rPr>
      </w:pPr>
      <w:r>
        <w:rPr>
          <w:rFonts w:hint="eastAsia" w:ascii="宋体" w:hAnsi="宋体" w:cs="宋体"/>
          <w:color w:val="auto"/>
          <w:sz w:val="22"/>
          <w:highlight w:val="none"/>
        </w:rPr>
        <w:t>演示评分细则：</w:t>
      </w:r>
    </w:p>
    <w:tbl>
      <w:tblPr>
        <w:tblStyle w:val="2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17"/>
        <w:gridCol w:w="6967"/>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17" w:type="dxa"/>
            <w:gridSpan w:val="4"/>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演示分（</w:t>
            </w:r>
            <w:r>
              <w:rPr>
                <w:rFonts w:ascii="宋体" w:hAnsi="宋体" w:cs="宋体"/>
                <w:b w:val="0"/>
                <w:bCs w:val="0"/>
                <w:color w:val="auto"/>
                <w:sz w:val="22"/>
                <w:highlight w:val="none"/>
              </w:rPr>
              <w:t>15</w:t>
            </w:r>
            <w:r>
              <w:rPr>
                <w:rFonts w:hint="eastAsia" w:ascii="宋体" w:hAnsi="宋体" w:cs="宋体"/>
                <w:b w:val="0"/>
                <w:bCs w:val="0"/>
                <w:color w:val="auto"/>
                <w:sz w:val="22"/>
                <w:highlight w:val="none"/>
              </w:rPr>
              <w:t>分）</w:t>
            </w:r>
          </w:p>
          <w:p>
            <w:pPr>
              <w:pStyle w:val="37"/>
              <w:keepNext w:val="0"/>
              <w:keepLines w:val="0"/>
              <w:pageBreakBefore w:val="0"/>
              <w:kinsoku/>
              <w:wordWrap/>
              <w:overflowPunct/>
              <w:topLinePunct w:val="0"/>
              <w:bidi w:val="0"/>
              <w:snapToGrid/>
              <w:spacing w:line="360" w:lineRule="exact"/>
              <w:jc w:val="left"/>
              <w:textAlignment w:val="auto"/>
              <w:rPr>
                <w:rFonts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投标人需提供一套与投标产品一致的</w:t>
            </w:r>
            <w:r>
              <w:rPr>
                <w:rFonts w:hint="eastAsia" w:ascii="宋体" w:hAnsi="宋体" w:cs="宋体"/>
                <w:b w:val="0"/>
                <w:bCs w:val="0"/>
                <w:color w:val="auto"/>
                <w:sz w:val="22"/>
                <w:szCs w:val="22"/>
                <w:highlight w:val="none"/>
              </w:rPr>
              <w:t>产品（辅助演示设备除外）</w:t>
            </w:r>
            <w:r>
              <w:rPr>
                <w:rFonts w:hint="eastAsia" w:ascii="宋体" w:hAnsi="宋体" w:cs="宋体"/>
                <w:b w:val="0"/>
                <w:bCs w:val="0"/>
                <w:color w:val="auto"/>
                <w:sz w:val="22"/>
                <w:szCs w:val="22"/>
                <w:highlight w:val="none"/>
                <w:lang w:val="zh-CN"/>
              </w:rPr>
              <w:t>进行视频演示；</w:t>
            </w:r>
          </w:p>
          <w:p>
            <w:pPr>
              <w:pStyle w:val="37"/>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注：</w:t>
            </w:r>
          </w:p>
          <w:p>
            <w:pPr>
              <w:pStyle w:val="37"/>
              <w:keepNext w:val="0"/>
              <w:keepLines w:val="0"/>
              <w:pageBreakBefore w:val="0"/>
              <w:kinsoku/>
              <w:wordWrap/>
              <w:overflowPunct/>
              <w:topLinePunct w:val="0"/>
              <w:bidi w:val="0"/>
              <w:snapToGrid/>
              <w:spacing w:line="360" w:lineRule="exact"/>
              <w:textAlignment w:val="auto"/>
              <w:rPr>
                <w:rFonts w:hint="eastAsia" w:ascii="宋体" w:hAnsi="宋体" w:eastAsia="宋体" w:cs="宋体"/>
                <w:b w:val="0"/>
                <w:bCs w:val="0"/>
                <w:color w:val="auto"/>
                <w:spacing w:val="-6"/>
                <w:sz w:val="22"/>
                <w:szCs w:val="22"/>
                <w:highlight w:val="none"/>
                <w:lang w:eastAsia="zh-CN"/>
              </w:rPr>
            </w:pPr>
            <w:r>
              <w:rPr>
                <w:rFonts w:hint="eastAsia" w:ascii="宋体" w:hAnsi="宋体" w:cs="宋体"/>
                <w:b w:val="0"/>
                <w:bCs w:val="0"/>
                <w:color w:val="auto"/>
                <w:sz w:val="22"/>
                <w:szCs w:val="22"/>
                <w:highlight w:val="none"/>
              </w:rPr>
              <w:t>1.投标人无需到评审现场，仅需在提交投标文件截止时间前将演示内容录制成语音视频形式加密发送至邮箱2812799762@qq.com，演示时间不超过20分钟。</w:t>
            </w:r>
            <w:r>
              <w:rPr>
                <w:rFonts w:hint="eastAsia" w:ascii="宋体" w:hAnsi="宋体" w:cs="宋体"/>
                <w:b w:val="0"/>
                <w:bCs w:val="0"/>
                <w:color w:val="auto"/>
                <w:spacing w:val="-6"/>
                <w:sz w:val="22"/>
                <w:szCs w:val="22"/>
                <w:highlight w:val="none"/>
              </w:rPr>
              <w:t>对应项无现场演示的分值为0。</w:t>
            </w:r>
            <w:r>
              <w:rPr>
                <w:rFonts w:hint="eastAsia" w:ascii="宋体" w:hAnsi="宋体" w:cs="宋体"/>
                <w:b w:val="0"/>
                <w:bCs w:val="0"/>
                <w:color w:val="auto"/>
                <w:spacing w:val="-6"/>
                <w:sz w:val="22"/>
                <w:szCs w:val="22"/>
                <w:highlight w:val="none"/>
                <w:lang w:eastAsia="zh-CN"/>
              </w:rPr>
              <w:t>以下内容如演示扣分后</w:t>
            </w:r>
            <w:r>
              <w:rPr>
                <w:rFonts w:hint="eastAsia" w:ascii="宋体" w:hAnsi="宋体" w:cs="宋体"/>
                <w:color w:val="auto"/>
                <w:sz w:val="22"/>
                <w:highlight w:val="none"/>
              </w:rPr>
              <w:t>技术</w:t>
            </w:r>
            <w:r>
              <w:rPr>
                <w:rFonts w:hint="eastAsia" w:ascii="宋体" w:hAnsi="宋体" w:cs="宋体"/>
                <w:color w:val="auto"/>
                <w:sz w:val="22"/>
                <w:highlight w:val="none"/>
                <w:lang w:eastAsia="zh-CN"/>
              </w:rPr>
              <w:t>要求响应程度</w:t>
            </w:r>
            <w:r>
              <w:rPr>
                <w:rFonts w:hint="eastAsia" w:ascii="宋体" w:hAnsi="宋体" w:cs="宋体"/>
                <w:b w:val="0"/>
                <w:bCs w:val="0"/>
                <w:color w:val="auto"/>
                <w:spacing w:val="-6"/>
                <w:sz w:val="22"/>
                <w:szCs w:val="22"/>
                <w:highlight w:val="none"/>
                <w:lang w:eastAsia="zh-CN"/>
              </w:rPr>
              <w:t>项不重复扣分</w:t>
            </w:r>
            <w:r>
              <w:rPr>
                <w:rFonts w:hint="eastAsia" w:ascii="宋体" w:hAnsi="宋体" w:cs="宋体"/>
                <w:color w:val="auto"/>
                <w:sz w:val="22"/>
                <w:highlight w:val="none"/>
                <w:lang w:eastAsia="zh-CN"/>
              </w:rPr>
              <w:t>。</w:t>
            </w:r>
          </w:p>
          <w:p>
            <w:pPr>
              <w:pStyle w:val="37"/>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2.各项功能演示视频录制前需进行演示设备展示（如无此环节产品演示分为0分），然后进行各个功能演示视频录制。</w:t>
            </w:r>
          </w:p>
          <w:p>
            <w:pPr>
              <w:pStyle w:val="37"/>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3.每项</w:t>
            </w:r>
            <w:r>
              <w:rPr>
                <w:rFonts w:hint="eastAsia" w:ascii="宋体" w:hAnsi="宋体" w:cs="宋体"/>
                <w:b w:val="0"/>
                <w:bCs w:val="0"/>
                <w:color w:val="auto"/>
                <w:kern w:val="0"/>
                <w:sz w:val="22"/>
                <w:szCs w:val="22"/>
                <w:highlight w:val="none"/>
              </w:rPr>
              <w:t>演示内容齐全，内容清晰明了的得</w:t>
            </w:r>
            <w:r>
              <w:rPr>
                <w:rFonts w:ascii="宋体" w:hAnsi="宋体" w:cs="宋体"/>
                <w:b w:val="0"/>
                <w:bCs w:val="0"/>
                <w:color w:val="auto"/>
                <w:kern w:val="0"/>
                <w:sz w:val="22"/>
                <w:szCs w:val="22"/>
                <w:highlight w:val="none"/>
              </w:rPr>
              <w:t>3</w:t>
            </w:r>
            <w:r>
              <w:rPr>
                <w:rFonts w:hint="eastAsia" w:ascii="宋体" w:hAnsi="宋体" w:cs="宋体"/>
                <w:b w:val="0"/>
                <w:bCs w:val="0"/>
                <w:color w:val="auto"/>
                <w:kern w:val="0"/>
                <w:sz w:val="22"/>
                <w:szCs w:val="22"/>
                <w:highlight w:val="none"/>
              </w:rPr>
              <w:t>分；演示内容较齐全，部分内容清晰明了的得</w:t>
            </w:r>
            <w:r>
              <w:rPr>
                <w:rFonts w:ascii="宋体" w:hAnsi="宋体" w:cs="宋体"/>
                <w:b w:val="0"/>
                <w:bCs w:val="0"/>
                <w:color w:val="auto"/>
                <w:kern w:val="0"/>
                <w:sz w:val="22"/>
                <w:szCs w:val="22"/>
                <w:highlight w:val="none"/>
              </w:rPr>
              <w:t>2</w:t>
            </w:r>
            <w:r>
              <w:rPr>
                <w:rFonts w:hint="eastAsia" w:ascii="宋体" w:hAnsi="宋体" w:cs="宋体"/>
                <w:b w:val="0"/>
                <w:bCs w:val="0"/>
                <w:color w:val="auto"/>
                <w:kern w:val="0"/>
                <w:sz w:val="22"/>
                <w:szCs w:val="22"/>
                <w:highlight w:val="none"/>
              </w:rPr>
              <w:t>分；演示内容不齐全，效果差的得1分；无演示的得0分。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8" w:type="dxa"/>
            <w:vMerge w:val="restart"/>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lang w:val="zh-CN"/>
              </w:rPr>
            </w:pPr>
            <w:r>
              <w:rPr>
                <w:rFonts w:hint="eastAsia" w:ascii="宋体" w:hAnsi="宋体" w:cs="宋体"/>
                <w:b w:val="0"/>
                <w:bCs w:val="0"/>
                <w:color w:val="auto"/>
                <w:kern w:val="0"/>
                <w:sz w:val="22"/>
                <w:highlight w:val="none"/>
              </w:rPr>
              <w:t>智慧教室主机1设备功能演示</w:t>
            </w:r>
          </w:p>
        </w:tc>
        <w:tc>
          <w:tcPr>
            <w:tcW w:w="61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0-</w:t>
            </w:r>
            <w:r>
              <w:rPr>
                <w:rFonts w:ascii="宋体" w:hAnsi="宋体" w:cs="宋体"/>
                <w:b w:val="0"/>
                <w:bCs w:val="0"/>
                <w:color w:val="auto"/>
                <w:sz w:val="22"/>
                <w:highlight w:val="none"/>
              </w:rPr>
              <w:t>3</w:t>
            </w:r>
          </w:p>
        </w:tc>
        <w:tc>
          <w:tcPr>
            <w:tcW w:w="696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1.登录功能演示：</w:t>
            </w:r>
          </w:p>
          <w:p>
            <w:pPr>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highlight w:val="none"/>
              </w:rPr>
            </w:pPr>
            <w:r>
              <w:rPr>
                <w:rFonts w:hint="eastAsia" w:ascii="宋体" w:hAnsi="宋体" w:cs="宋体"/>
                <w:b w:val="0"/>
                <w:bCs w:val="0"/>
                <w:color w:val="auto"/>
                <w:kern w:val="0"/>
                <w:sz w:val="22"/>
                <w:highlight w:val="none"/>
              </w:rPr>
              <w:t>支持多种方式登录设备主机，包括：用户名加密码、IC刷卡和人脸识别等方式；</w:t>
            </w:r>
          </w:p>
        </w:tc>
        <w:tc>
          <w:tcPr>
            <w:tcW w:w="9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lang w:val="zh-CN"/>
              </w:rPr>
            </w:pPr>
          </w:p>
        </w:tc>
        <w:tc>
          <w:tcPr>
            <w:tcW w:w="61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0-</w:t>
            </w:r>
            <w:r>
              <w:rPr>
                <w:rFonts w:ascii="宋体" w:hAnsi="宋体" w:cs="宋体"/>
                <w:b w:val="0"/>
                <w:bCs w:val="0"/>
                <w:color w:val="auto"/>
                <w:sz w:val="22"/>
                <w:highlight w:val="none"/>
              </w:rPr>
              <w:t>3</w:t>
            </w:r>
          </w:p>
        </w:tc>
        <w:tc>
          <w:tcPr>
            <w:tcW w:w="696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2.电子白板功能演示：</w:t>
            </w:r>
          </w:p>
          <w:p>
            <w:pPr>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highlight w:val="none"/>
              </w:rPr>
            </w:pPr>
            <w:r>
              <w:rPr>
                <w:rFonts w:hint="eastAsia" w:ascii="宋体" w:hAnsi="宋体" w:cs="宋体"/>
                <w:b w:val="0"/>
                <w:bCs w:val="0"/>
                <w:color w:val="auto"/>
                <w:kern w:val="0"/>
                <w:sz w:val="22"/>
                <w:highlight w:val="none"/>
              </w:rPr>
              <w:t>支持硬件方式实现电子白板功能进行课堂板书；在圈点或批注状态下课进行颜色设置；更换教学电脑或老师笔记本电脑授课时，无需安装任何软件即可使用上述功能；</w:t>
            </w:r>
          </w:p>
        </w:tc>
        <w:tc>
          <w:tcPr>
            <w:tcW w:w="9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lang w:val="zh-CN"/>
              </w:rPr>
            </w:pPr>
          </w:p>
        </w:tc>
        <w:tc>
          <w:tcPr>
            <w:tcW w:w="61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0-</w:t>
            </w:r>
            <w:r>
              <w:rPr>
                <w:rFonts w:ascii="宋体" w:hAnsi="宋体" w:cs="宋体"/>
                <w:b w:val="0"/>
                <w:bCs w:val="0"/>
                <w:color w:val="auto"/>
                <w:sz w:val="22"/>
                <w:highlight w:val="none"/>
              </w:rPr>
              <w:t>3</w:t>
            </w:r>
          </w:p>
        </w:tc>
        <w:tc>
          <w:tcPr>
            <w:tcW w:w="696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3.一屏双显功能演示：</w:t>
            </w:r>
          </w:p>
          <w:p>
            <w:pPr>
              <w:pStyle w:val="2"/>
              <w:keepNext w:val="0"/>
              <w:keepLines w:val="0"/>
              <w:pageBreakBefore w:val="0"/>
              <w:tabs>
                <w:tab w:val="right" w:leader="dot" w:pos="8302"/>
                <w:tab w:val="clear" w:pos="8931"/>
              </w:tabs>
              <w:kinsoku/>
              <w:wordWrap/>
              <w:overflowPunct/>
              <w:topLinePunct w:val="0"/>
              <w:bidi w:val="0"/>
              <w:snapToGrid/>
              <w:spacing w:line="360" w:lineRule="exact"/>
              <w:textAlignment w:val="auto"/>
              <w:rPr>
                <w:rFonts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为便于课件显示及操作，要求触摸显示屏即可作为操作屏使用又可以作为课件电脑显示器使用；教师通过对触摸显示屏触控滑动进行切换；</w:t>
            </w:r>
          </w:p>
        </w:tc>
        <w:tc>
          <w:tcPr>
            <w:tcW w:w="9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lang w:val="zh-CN"/>
              </w:rPr>
            </w:pPr>
          </w:p>
        </w:tc>
        <w:tc>
          <w:tcPr>
            <w:tcW w:w="61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0-</w:t>
            </w:r>
            <w:r>
              <w:rPr>
                <w:rFonts w:ascii="宋体" w:hAnsi="宋体" w:cs="宋体"/>
                <w:b w:val="0"/>
                <w:bCs w:val="0"/>
                <w:color w:val="auto"/>
                <w:sz w:val="22"/>
                <w:highlight w:val="none"/>
              </w:rPr>
              <w:t>3</w:t>
            </w:r>
          </w:p>
        </w:tc>
        <w:tc>
          <w:tcPr>
            <w:tcW w:w="696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4.远程互动功能演示：</w:t>
            </w:r>
          </w:p>
          <w:p>
            <w:pPr>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主机接入腾讯视频会议系统与2个以上移动终端设备进行视频互动；</w:t>
            </w:r>
          </w:p>
        </w:tc>
        <w:tc>
          <w:tcPr>
            <w:tcW w:w="9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lang w:val="zh-CN"/>
              </w:rPr>
            </w:pPr>
          </w:p>
        </w:tc>
        <w:tc>
          <w:tcPr>
            <w:tcW w:w="61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0-</w:t>
            </w:r>
            <w:r>
              <w:rPr>
                <w:rFonts w:ascii="宋体" w:hAnsi="宋体" w:cs="宋体"/>
                <w:b w:val="0"/>
                <w:bCs w:val="0"/>
                <w:color w:val="auto"/>
                <w:sz w:val="22"/>
                <w:highlight w:val="none"/>
              </w:rPr>
              <w:t>3</w:t>
            </w:r>
          </w:p>
        </w:tc>
        <w:tc>
          <w:tcPr>
            <w:tcW w:w="696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exact"/>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5.录播功能操作演示：</w:t>
            </w:r>
          </w:p>
          <w:p>
            <w:pPr>
              <w:pStyle w:val="2"/>
              <w:keepNext w:val="0"/>
              <w:keepLines w:val="0"/>
              <w:pageBreakBefore w:val="0"/>
              <w:tabs>
                <w:tab w:val="right" w:leader="dot" w:pos="8302"/>
                <w:tab w:val="clear" w:pos="8931"/>
              </w:tabs>
              <w:kinsoku/>
              <w:wordWrap/>
              <w:overflowPunct/>
              <w:topLinePunct w:val="0"/>
              <w:bidi w:val="0"/>
              <w:snapToGrid/>
              <w:spacing w:line="360" w:lineRule="exact"/>
              <w:textAlignment w:val="auto"/>
              <w:rPr>
                <w:rFonts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在触摸控制屏操作界面进行录播功能的开始、暂定、结束等功能操作；</w:t>
            </w:r>
          </w:p>
        </w:tc>
        <w:tc>
          <w:tcPr>
            <w:tcW w:w="9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ascii="宋体" w:hAnsi="宋体" w:cs="宋体"/>
                <w:b w:val="0"/>
                <w:bCs w:val="0"/>
                <w:color w:val="auto"/>
                <w:sz w:val="22"/>
                <w:highlight w:val="none"/>
              </w:rPr>
            </w:pPr>
            <w:r>
              <w:rPr>
                <w:rFonts w:hint="eastAsia" w:ascii="宋体" w:hAnsi="宋体" w:cs="宋体"/>
                <w:b w:val="0"/>
                <w:bCs w:val="0"/>
                <w:color w:val="auto"/>
                <w:sz w:val="22"/>
                <w:highlight w:val="none"/>
              </w:rPr>
              <w:t>主观分</w:t>
            </w:r>
          </w:p>
        </w:tc>
      </w:tr>
    </w:tbl>
    <w:p>
      <w:pPr>
        <w:keepNext w:val="0"/>
        <w:keepLines w:val="0"/>
        <w:pageBreakBefore w:val="0"/>
        <w:numPr>
          <w:ilvl w:val="0"/>
          <w:numId w:val="11"/>
        </w:numPr>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报价评分（30分）：</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2.1资格及符合性审查通过的有效投标人进入商务报价评分。</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报价评分采用低价优先法计算，即满足招标文件要求且评审价格最低的为评标基准价，其他投标人的报价分按照下列公式计算：</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报价分=（评标基准价/评审价格）×30。</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pPr>
        <w:keepNext w:val="0"/>
        <w:keepLines w:val="0"/>
        <w:pageBreakBefore w:val="0"/>
        <w:kinsoku/>
        <w:wordWrap/>
        <w:overflowPunct/>
        <w:topLinePunct w:val="0"/>
        <w:bidi w:val="0"/>
        <w:snapToGrid/>
        <w:spacing w:line="360" w:lineRule="exact"/>
        <w:ind w:firstLine="440" w:firstLineChars="200"/>
        <w:textAlignment w:val="auto"/>
        <w:rPr>
          <w:rFonts w:ascii="宋体" w:hAnsi="宋体" w:cs="宋体"/>
          <w:color w:val="auto"/>
          <w:sz w:val="22"/>
          <w:highlight w:val="none"/>
        </w:rPr>
      </w:pPr>
      <w:r>
        <w:rPr>
          <w:rFonts w:hint="eastAsia" w:ascii="宋体" w:hAnsi="宋体" w:cs="宋体"/>
          <w:bCs/>
          <w:color w:val="auto"/>
          <w:sz w:val="22"/>
          <w:highlight w:val="none"/>
        </w:rPr>
        <w:t>3</w:t>
      </w:r>
      <w:r>
        <w:rPr>
          <w:rFonts w:hint="eastAsia" w:ascii="宋体" w:hAnsi="宋体" w:cs="宋体"/>
          <w:b/>
          <w:bCs/>
          <w:color w:val="auto"/>
          <w:sz w:val="22"/>
          <w:highlight w:val="none"/>
        </w:rPr>
        <w:t>.</w:t>
      </w:r>
      <w:r>
        <w:rPr>
          <w:rFonts w:hint="eastAsia" w:ascii="宋体" w:hAnsi="宋体" w:cs="宋体"/>
          <w:color w:val="auto"/>
          <w:sz w:val="22"/>
          <w:highlight w:val="none"/>
        </w:rPr>
        <w:t>投标人的综合评分为“商务和技术分”和“报价分”的的总计。</w:t>
      </w:r>
    </w:p>
    <w:sectPr>
      <w:headerReference r:id="rId4" w:type="default"/>
      <w:footerReference r:id="rId5" w:type="default"/>
      <w:pgSz w:w="11906" w:h="16838"/>
      <w:pgMar w:top="1440" w:right="1080" w:bottom="1440" w:left="1080" w:header="454" w:footer="709"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59" w:rightChars="17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01320" cy="147955"/>
              <wp:effectExtent l="0" t="0" r="0" b="0"/>
              <wp:wrapNone/>
              <wp:docPr id="6" name="4099"/>
              <wp:cNvGraphicFramePr/>
              <a:graphic xmlns:a="http://schemas.openxmlformats.org/drawingml/2006/main">
                <a:graphicData uri="http://schemas.microsoft.com/office/word/2010/wordprocessingShape">
                  <wps:wsp>
                    <wps:cNvSpPr txBox="1"/>
                    <wps:spPr>
                      <a:xfrm>
                        <a:off x="0" y="0"/>
                        <a:ext cx="401320" cy="14795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4099" o:spid="_x0000_s1026" o:spt="202" type="#_x0000_t202" style="position:absolute;left:0pt;margin-top:0pt;height:11.65pt;width:31.6pt;mso-position-horizontal:center;mso-position-horizontal-relative:margin;mso-wrap-style:none;z-index:251665408;mso-width-relative:page;mso-height-relative:page;" filled="f" stroked="f" coordsize="21600,21600" o:gfxdata="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h4WI1QAAAAMBAAAPAAAAAAAAAAEAIAAAACIAAABkcnMvZG93&#10;bnJldi54bWxQSwECFAAUAAAACACHTuJAAf68BsoBAACoAwAADgAAAAAAAAABACAAAAAkAQAAZHJz&#10;L2Uyb0RvYy54bWxQSwUGAAAAAAYABgBZAQAAYA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clear" w:pos="4153"/>
        <w:tab w:val="clear" w:pos="8306"/>
      </w:tabs>
      <w:ind w:right="360"/>
      <w:jc w:val="right"/>
    </w:pPr>
    <w:r>
      <w:rPr>
        <w:rFonts w:hint="eastAsia"/>
      </w:rPr>
      <w:t>浙江乐诚工程咨询有限公司招标文件</w:t>
    </w:r>
    <w:r>
      <w:rPr>
        <w:rFonts w:hint="eastAsia" w:ascii="Arial" w:hAnsi="宋体" w:cs="Arial"/>
        <w:b/>
        <w:szCs w:val="21"/>
      </w:rPr>
      <w:drawing>
        <wp:inline distT="0" distB="0" distL="0" distR="0">
          <wp:extent cx="381000" cy="342900"/>
          <wp:effectExtent l="19050" t="0" r="0" b="0"/>
          <wp:docPr id="4097" name="图片 494" descr="1e5075ce6ac53c691def6ed2744ae6b"/>
          <wp:cNvGraphicFramePr/>
          <a:graphic xmlns:a="http://schemas.openxmlformats.org/drawingml/2006/main">
            <a:graphicData uri="http://schemas.openxmlformats.org/drawingml/2006/picture">
              <pic:pic xmlns:pic="http://schemas.openxmlformats.org/drawingml/2006/picture">
                <pic:nvPicPr>
                  <pic:cNvPr id="4097" name="图片 494" descr="1e5075ce6ac53c691def6ed2744ae6b"/>
                  <pic:cNvPicPr/>
                </pic:nvPicPr>
                <pic:blipFill>
                  <a:blip r:embed="rId1" cstate="print"/>
                  <a:srcRect/>
                  <a:stretch>
                    <a:fillRect/>
                  </a:stretch>
                </pic:blipFill>
                <pic:spPr>
                  <a:xfrm>
                    <a:off x="0" y="0"/>
                    <a:ext cx="381000" cy="34290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015D7"/>
    <w:multiLevelType w:val="singleLevel"/>
    <w:tmpl w:val="C91015D7"/>
    <w:lvl w:ilvl="0" w:tentative="0">
      <w:start w:val="2"/>
      <w:numFmt w:val="decimal"/>
      <w:suff w:val="nothing"/>
      <w:lvlText w:val="%1、"/>
      <w:lvlJc w:val="left"/>
      <w:pPr>
        <w:ind w:left="190"/>
      </w:pPr>
    </w:lvl>
  </w:abstractNum>
  <w:abstractNum w:abstractNumId="1">
    <w:nsid w:val="F9EC2A9F"/>
    <w:multiLevelType w:val="singleLevel"/>
    <w:tmpl w:val="F9EC2A9F"/>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lvlText w:val="%1."/>
      <w:lvlJc w:val="left"/>
      <w:rPr>
        <w:rFonts w:ascii="宋体" w:hAnsi="宋体" w:eastAsia="宋体" w:cs="宋体"/>
        <w:b w:val="0"/>
        <w:bCs w:val="0"/>
        <w:i w:val="0"/>
        <w:iCs w:val="0"/>
        <w:smallCaps w:val="0"/>
        <w:color w:val="000000"/>
        <w:spacing w:val="0"/>
        <w:w w:val="100"/>
        <w:position w:val="0"/>
        <w:sz w:val="22"/>
        <w:szCs w:val="22"/>
        <w:u w:val="none"/>
        <w:shd w:val="clear" w:color="auto" w:fill="auto"/>
        <w:lang w:val="en-US" w:eastAsia="en-US" w:bidi="en-US"/>
      </w:rPr>
    </w:lvl>
  </w:abstractNum>
  <w:abstractNum w:abstractNumId="5">
    <w:nsid w:val="00000005"/>
    <w:multiLevelType w:val="singleLevel"/>
    <w:tmpl w:val="00000005"/>
    <w:lvl w:ilvl="0" w:tentative="0">
      <w:start w:val="1"/>
      <w:numFmt w:val="chineseCounting"/>
      <w:lvlText w:val="%1."/>
      <w:lvlJc w:val="left"/>
      <w:pPr>
        <w:tabs>
          <w:tab w:val="left" w:pos="312"/>
        </w:tabs>
      </w:pPr>
      <w:rPr>
        <w:rFonts w:hint="eastAsia"/>
      </w:rPr>
    </w:lvl>
  </w:abstractNum>
  <w:abstractNum w:abstractNumId="6">
    <w:nsid w:val="00000006"/>
    <w:multiLevelType w:val="singleLevel"/>
    <w:tmpl w:val="00000006"/>
    <w:lvl w:ilvl="0" w:tentative="0">
      <w:start w:val="3"/>
      <w:numFmt w:val="chineseCounting"/>
      <w:suff w:val="nothing"/>
      <w:lvlText w:val="%1、"/>
      <w:lvlJc w:val="left"/>
      <w:rPr>
        <w:rFonts w:cs="Times New Roman"/>
      </w:rPr>
    </w:lvl>
  </w:abstractNum>
  <w:abstractNum w:abstractNumId="7">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8">
    <w:nsid w:val="0053208E"/>
    <w:multiLevelType w:val="singleLevel"/>
    <w:tmpl w:val="0053208E"/>
    <w:lvl w:ilvl="0" w:tentative="0">
      <w:start w:val="2"/>
      <w:numFmt w:val="decimal"/>
      <w:lvlText w:val="%1."/>
      <w:lvlJc w:val="left"/>
      <w:pPr>
        <w:tabs>
          <w:tab w:val="left" w:pos="312"/>
        </w:tabs>
      </w:pPr>
    </w:lvl>
  </w:abstractNum>
  <w:abstractNum w:abstractNumId="9">
    <w:nsid w:val="0701E754"/>
    <w:multiLevelType w:val="multilevel"/>
    <w:tmpl w:val="0701E754"/>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0983141C"/>
    <w:multiLevelType w:val="multilevel"/>
    <w:tmpl w:val="0983141C"/>
    <w:lvl w:ilvl="0" w:tentative="0">
      <w:start w:val="1"/>
      <w:numFmt w:val="decimal"/>
      <w:lvlText w:val="%1）"/>
      <w:lvlJc w:val="left"/>
      <w:pPr>
        <w:ind w:left="420" w:hanging="420"/>
      </w:pPr>
      <w:rPr>
        <w:rFonts w:ascii="等线" w:hAnsi="等线" w:eastAsia="等线"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9"/>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MTlkOWEzODM5NzBjOWY2OTlmZmI4MDhjNDI1ZGQifQ=="/>
  </w:docVars>
  <w:rsids>
    <w:rsidRoot w:val="003925A3"/>
    <w:rsid w:val="00001190"/>
    <w:rsid w:val="000302DA"/>
    <w:rsid w:val="0004064F"/>
    <w:rsid w:val="00085D6C"/>
    <w:rsid w:val="00096C1C"/>
    <w:rsid w:val="000D0E9D"/>
    <w:rsid w:val="000D2A66"/>
    <w:rsid w:val="00104797"/>
    <w:rsid w:val="00112C95"/>
    <w:rsid w:val="00114ACF"/>
    <w:rsid w:val="001238A9"/>
    <w:rsid w:val="0013656F"/>
    <w:rsid w:val="00162DE6"/>
    <w:rsid w:val="0016331A"/>
    <w:rsid w:val="001872A6"/>
    <w:rsid w:val="001A7A57"/>
    <w:rsid w:val="001D4C41"/>
    <w:rsid w:val="001D58E6"/>
    <w:rsid w:val="001F2E07"/>
    <w:rsid w:val="001F69EB"/>
    <w:rsid w:val="00200D62"/>
    <w:rsid w:val="00244FF1"/>
    <w:rsid w:val="00251DD9"/>
    <w:rsid w:val="00260625"/>
    <w:rsid w:val="002B42A7"/>
    <w:rsid w:val="002D013D"/>
    <w:rsid w:val="002D4D79"/>
    <w:rsid w:val="002E6DD3"/>
    <w:rsid w:val="002F0C16"/>
    <w:rsid w:val="002F4DEE"/>
    <w:rsid w:val="003105E7"/>
    <w:rsid w:val="00317FAE"/>
    <w:rsid w:val="003203EB"/>
    <w:rsid w:val="003249A6"/>
    <w:rsid w:val="00337494"/>
    <w:rsid w:val="00381587"/>
    <w:rsid w:val="003925A3"/>
    <w:rsid w:val="003A6E55"/>
    <w:rsid w:val="003D177F"/>
    <w:rsid w:val="003F07CB"/>
    <w:rsid w:val="003F1330"/>
    <w:rsid w:val="003F1DAF"/>
    <w:rsid w:val="004318C2"/>
    <w:rsid w:val="00443708"/>
    <w:rsid w:val="0045222C"/>
    <w:rsid w:val="00472B95"/>
    <w:rsid w:val="004957F5"/>
    <w:rsid w:val="004D29DE"/>
    <w:rsid w:val="004E36AD"/>
    <w:rsid w:val="004E3FBA"/>
    <w:rsid w:val="00520695"/>
    <w:rsid w:val="00554E6C"/>
    <w:rsid w:val="00570215"/>
    <w:rsid w:val="00577024"/>
    <w:rsid w:val="0058774E"/>
    <w:rsid w:val="005C3319"/>
    <w:rsid w:val="005D178C"/>
    <w:rsid w:val="005D2F76"/>
    <w:rsid w:val="005D6E90"/>
    <w:rsid w:val="005E576C"/>
    <w:rsid w:val="005F106A"/>
    <w:rsid w:val="00621902"/>
    <w:rsid w:val="006470D7"/>
    <w:rsid w:val="00691949"/>
    <w:rsid w:val="006C6DF3"/>
    <w:rsid w:val="006E126A"/>
    <w:rsid w:val="006E15D1"/>
    <w:rsid w:val="007063AD"/>
    <w:rsid w:val="00734AEB"/>
    <w:rsid w:val="0075442D"/>
    <w:rsid w:val="00756CC1"/>
    <w:rsid w:val="00776291"/>
    <w:rsid w:val="0078268B"/>
    <w:rsid w:val="007873A4"/>
    <w:rsid w:val="00793639"/>
    <w:rsid w:val="007A49AB"/>
    <w:rsid w:val="007B3771"/>
    <w:rsid w:val="007B7F6F"/>
    <w:rsid w:val="007E4E7F"/>
    <w:rsid w:val="0080546D"/>
    <w:rsid w:val="008057EB"/>
    <w:rsid w:val="00812562"/>
    <w:rsid w:val="00843D49"/>
    <w:rsid w:val="00855FBF"/>
    <w:rsid w:val="00862DF1"/>
    <w:rsid w:val="008A4B92"/>
    <w:rsid w:val="008A796F"/>
    <w:rsid w:val="008D49CA"/>
    <w:rsid w:val="008F2DA5"/>
    <w:rsid w:val="00912D3F"/>
    <w:rsid w:val="00942407"/>
    <w:rsid w:val="00945726"/>
    <w:rsid w:val="009900B5"/>
    <w:rsid w:val="00994CA5"/>
    <w:rsid w:val="009C572C"/>
    <w:rsid w:val="009F098F"/>
    <w:rsid w:val="00A04D79"/>
    <w:rsid w:val="00A214EA"/>
    <w:rsid w:val="00A65DD3"/>
    <w:rsid w:val="00A66D42"/>
    <w:rsid w:val="00A8065C"/>
    <w:rsid w:val="00AA014F"/>
    <w:rsid w:val="00AB25FE"/>
    <w:rsid w:val="00AB46F5"/>
    <w:rsid w:val="00AC64BB"/>
    <w:rsid w:val="00AF6ACE"/>
    <w:rsid w:val="00AF73BF"/>
    <w:rsid w:val="00AF755D"/>
    <w:rsid w:val="00B20479"/>
    <w:rsid w:val="00B50A14"/>
    <w:rsid w:val="00B53847"/>
    <w:rsid w:val="00B83312"/>
    <w:rsid w:val="00B86FAF"/>
    <w:rsid w:val="00B96870"/>
    <w:rsid w:val="00BB467D"/>
    <w:rsid w:val="00BD3EE9"/>
    <w:rsid w:val="00BE0B15"/>
    <w:rsid w:val="00BF6528"/>
    <w:rsid w:val="00BF6A6B"/>
    <w:rsid w:val="00BF6FF9"/>
    <w:rsid w:val="00C50151"/>
    <w:rsid w:val="00C62892"/>
    <w:rsid w:val="00C73F31"/>
    <w:rsid w:val="00C8768E"/>
    <w:rsid w:val="00C94D42"/>
    <w:rsid w:val="00CA6252"/>
    <w:rsid w:val="00CE2703"/>
    <w:rsid w:val="00CE2CE0"/>
    <w:rsid w:val="00CF5B7D"/>
    <w:rsid w:val="00D010B9"/>
    <w:rsid w:val="00D63F03"/>
    <w:rsid w:val="00DA02F5"/>
    <w:rsid w:val="00DA22AC"/>
    <w:rsid w:val="00DB20F7"/>
    <w:rsid w:val="00DD26EB"/>
    <w:rsid w:val="00E03603"/>
    <w:rsid w:val="00E134A5"/>
    <w:rsid w:val="00E21ABF"/>
    <w:rsid w:val="00E22CF2"/>
    <w:rsid w:val="00E30539"/>
    <w:rsid w:val="00E33425"/>
    <w:rsid w:val="00E5476F"/>
    <w:rsid w:val="00E66A4A"/>
    <w:rsid w:val="00E77C82"/>
    <w:rsid w:val="00E80E9C"/>
    <w:rsid w:val="00E86E7D"/>
    <w:rsid w:val="00E949F4"/>
    <w:rsid w:val="00EC1FB1"/>
    <w:rsid w:val="00EC7089"/>
    <w:rsid w:val="00F26ADE"/>
    <w:rsid w:val="00F353F7"/>
    <w:rsid w:val="00F455DA"/>
    <w:rsid w:val="00F70290"/>
    <w:rsid w:val="00FB04D7"/>
    <w:rsid w:val="00FC19F8"/>
    <w:rsid w:val="00FD503D"/>
    <w:rsid w:val="00FE3641"/>
    <w:rsid w:val="00FE48C2"/>
    <w:rsid w:val="017A4877"/>
    <w:rsid w:val="01F5688A"/>
    <w:rsid w:val="028265A2"/>
    <w:rsid w:val="02E95FDE"/>
    <w:rsid w:val="03150F01"/>
    <w:rsid w:val="03186B45"/>
    <w:rsid w:val="031D29AE"/>
    <w:rsid w:val="032920E5"/>
    <w:rsid w:val="03457976"/>
    <w:rsid w:val="03914CEF"/>
    <w:rsid w:val="04962367"/>
    <w:rsid w:val="052878D5"/>
    <w:rsid w:val="066B3F6F"/>
    <w:rsid w:val="08A2033D"/>
    <w:rsid w:val="08B75BD9"/>
    <w:rsid w:val="09AD7A10"/>
    <w:rsid w:val="09BC0B90"/>
    <w:rsid w:val="09C35E1E"/>
    <w:rsid w:val="09E109F0"/>
    <w:rsid w:val="09E16702"/>
    <w:rsid w:val="09EB5E61"/>
    <w:rsid w:val="0A3A32B7"/>
    <w:rsid w:val="0C1A1105"/>
    <w:rsid w:val="0C9913E1"/>
    <w:rsid w:val="0CA65B6D"/>
    <w:rsid w:val="0D6B4EDF"/>
    <w:rsid w:val="0E3244A3"/>
    <w:rsid w:val="0E4A602B"/>
    <w:rsid w:val="0E4D139D"/>
    <w:rsid w:val="0E687A9C"/>
    <w:rsid w:val="0EA67C5A"/>
    <w:rsid w:val="0EF44E6C"/>
    <w:rsid w:val="10FB7431"/>
    <w:rsid w:val="11842D62"/>
    <w:rsid w:val="11F44590"/>
    <w:rsid w:val="132503F2"/>
    <w:rsid w:val="13414291"/>
    <w:rsid w:val="140108E7"/>
    <w:rsid w:val="14150B9E"/>
    <w:rsid w:val="147B744B"/>
    <w:rsid w:val="14F20A48"/>
    <w:rsid w:val="16EF3DAF"/>
    <w:rsid w:val="1700420E"/>
    <w:rsid w:val="170161B8"/>
    <w:rsid w:val="17ED48E9"/>
    <w:rsid w:val="196178A5"/>
    <w:rsid w:val="199156C7"/>
    <w:rsid w:val="1A336946"/>
    <w:rsid w:val="1B982480"/>
    <w:rsid w:val="1BA77684"/>
    <w:rsid w:val="1BDF3904"/>
    <w:rsid w:val="1C4A07BD"/>
    <w:rsid w:val="1D433A4E"/>
    <w:rsid w:val="1DF13ACA"/>
    <w:rsid w:val="20D84AB8"/>
    <w:rsid w:val="20F10723"/>
    <w:rsid w:val="21035D6D"/>
    <w:rsid w:val="21480281"/>
    <w:rsid w:val="21712966"/>
    <w:rsid w:val="21937BAA"/>
    <w:rsid w:val="22371FE8"/>
    <w:rsid w:val="24FD7FDE"/>
    <w:rsid w:val="255F2A47"/>
    <w:rsid w:val="25734E8C"/>
    <w:rsid w:val="25A426C9"/>
    <w:rsid w:val="272F01F7"/>
    <w:rsid w:val="283D69F1"/>
    <w:rsid w:val="28A7159E"/>
    <w:rsid w:val="28A83A5D"/>
    <w:rsid w:val="29B9542C"/>
    <w:rsid w:val="29C27F5A"/>
    <w:rsid w:val="2A476654"/>
    <w:rsid w:val="2A764BD5"/>
    <w:rsid w:val="2A7D6557"/>
    <w:rsid w:val="2A964957"/>
    <w:rsid w:val="2B53162E"/>
    <w:rsid w:val="2B5D3FDF"/>
    <w:rsid w:val="2BE55547"/>
    <w:rsid w:val="2C4A7F23"/>
    <w:rsid w:val="2C686AF4"/>
    <w:rsid w:val="2C932519"/>
    <w:rsid w:val="2CB74FF6"/>
    <w:rsid w:val="2F2B5F7A"/>
    <w:rsid w:val="2FAF425B"/>
    <w:rsid w:val="301D0D0B"/>
    <w:rsid w:val="30401BD3"/>
    <w:rsid w:val="32233180"/>
    <w:rsid w:val="32640FEF"/>
    <w:rsid w:val="3298327B"/>
    <w:rsid w:val="334054F0"/>
    <w:rsid w:val="335D48E6"/>
    <w:rsid w:val="33C65509"/>
    <w:rsid w:val="343455CA"/>
    <w:rsid w:val="348057FD"/>
    <w:rsid w:val="35F0749B"/>
    <w:rsid w:val="369304E8"/>
    <w:rsid w:val="369F20D0"/>
    <w:rsid w:val="36EE01AA"/>
    <w:rsid w:val="37215DAE"/>
    <w:rsid w:val="37277DC7"/>
    <w:rsid w:val="377C2875"/>
    <w:rsid w:val="387710BE"/>
    <w:rsid w:val="38BA723B"/>
    <w:rsid w:val="38BB646B"/>
    <w:rsid w:val="3A886215"/>
    <w:rsid w:val="3AC05B7F"/>
    <w:rsid w:val="3BA24FE4"/>
    <w:rsid w:val="3D4454BA"/>
    <w:rsid w:val="3DDE3567"/>
    <w:rsid w:val="3E1F5917"/>
    <w:rsid w:val="3E39136D"/>
    <w:rsid w:val="3F255313"/>
    <w:rsid w:val="3F5F2C22"/>
    <w:rsid w:val="3F9D463A"/>
    <w:rsid w:val="3FEF7F4A"/>
    <w:rsid w:val="41252F72"/>
    <w:rsid w:val="41FF1352"/>
    <w:rsid w:val="429224DD"/>
    <w:rsid w:val="42976AE4"/>
    <w:rsid w:val="43015A8D"/>
    <w:rsid w:val="43DC3A0B"/>
    <w:rsid w:val="44393D82"/>
    <w:rsid w:val="45CD231A"/>
    <w:rsid w:val="462E6CA0"/>
    <w:rsid w:val="47EE2481"/>
    <w:rsid w:val="480918FE"/>
    <w:rsid w:val="485F0089"/>
    <w:rsid w:val="49004184"/>
    <w:rsid w:val="494D658F"/>
    <w:rsid w:val="495E69EE"/>
    <w:rsid w:val="49FD6207"/>
    <w:rsid w:val="4A634178"/>
    <w:rsid w:val="4ABA40F8"/>
    <w:rsid w:val="4B51722E"/>
    <w:rsid w:val="4B540161"/>
    <w:rsid w:val="4BCD567E"/>
    <w:rsid w:val="4C170394"/>
    <w:rsid w:val="4D0504D4"/>
    <w:rsid w:val="4D07001A"/>
    <w:rsid w:val="4D8919E1"/>
    <w:rsid w:val="4DC773B7"/>
    <w:rsid w:val="4DEB50A9"/>
    <w:rsid w:val="4E561F12"/>
    <w:rsid w:val="4E944C60"/>
    <w:rsid w:val="4EEC7373"/>
    <w:rsid w:val="4F9A1FA1"/>
    <w:rsid w:val="50171207"/>
    <w:rsid w:val="503028A6"/>
    <w:rsid w:val="503F12F4"/>
    <w:rsid w:val="514F4979"/>
    <w:rsid w:val="51803501"/>
    <w:rsid w:val="528E5ABA"/>
    <w:rsid w:val="52D81CF5"/>
    <w:rsid w:val="52E60FE9"/>
    <w:rsid w:val="53095C00"/>
    <w:rsid w:val="539B083F"/>
    <w:rsid w:val="53D56F9C"/>
    <w:rsid w:val="53FE5CA6"/>
    <w:rsid w:val="548E34C5"/>
    <w:rsid w:val="553153C0"/>
    <w:rsid w:val="567E595F"/>
    <w:rsid w:val="57772233"/>
    <w:rsid w:val="586E5982"/>
    <w:rsid w:val="58C952FE"/>
    <w:rsid w:val="5901327B"/>
    <w:rsid w:val="59567298"/>
    <w:rsid w:val="599368A5"/>
    <w:rsid w:val="59F073F0"/>
    <w:rsid w:val="5ACD39D4"/>
    <w:rsid w:val="5AE76118"/>
    <w:rsid w:val="5BDE4363"/>
    <w:rsid w:val="5C8C341B"/>
    <w:rsid w:val="5E880482"/>
    <w:rsid w:val="5FA01E9E"/>
    <w:rsid w:val="5FFAFD06"/>
    <w:rsid w:val="605C0D0D"/>
    <w:rsid w:val="61B210ED"/>
    <w:rsid w:val="62AC0373"/>
    <w:rsid w:val="62CF4061"/>
    <w:rsid w:val="62E67FCA"/>
    <w:rsid w:val="631968F5"/>
    <w:rsid w:val="6423444E"/>
    <w:rsid w:val="643A3317"/>
    <w:rsid w:val="64F85267"/>
    <w:rsid w:val="65BD1AED"/>
    <w:rsid w:val="660A18CC"/>
    <w:rsid w:val="66766A90"/>
    <w:rsid w:val="66BF4DF6"/>
    <w:rsid w:val="6739300F"/>
    <w:rsid w:val="67D72F5F"/>
    <w:rsid w:val="694C5A2C"/>
    <w:rsid w:val="69DA5D28"/>
    <w:rsid w:val="6A0C3B57"/>
    <w:rsid w:val="6A4616BD"/>
    <w:rsid w:val="6B9D6660"/>
    <w:rsid w:val="6BF34356"/>
    <w:rsid w:val="6C02588D"/>
    <w:rsid w:val="6CD1FAF9"/>
    <w:rsid w:val="6D8313AD"/>
    <w:rsid w:val="6E2C54B9"/>
    <w:rsid w:val="6F122D67"/>
    <w:rsid w:val="6FBFBB75"/>
    <w:rsid w:val="713C126B"/>
    <w:rsid w:val="713C5092"/>
    <w:rsid w:val="71525278"/>
    <w:rsid w:val="718C7246"/>
    <w:rsid w:val="726E32F4"/>
    <w:rsid w:val="734B7C6A"/>
    <w:rsid w:val="73C624D5"/>
    <w:rsid w:val="74694613"/>
    <w:rsid w:val="75327DE6"/>
    <w:rsid w:val="76743C6C"/>
    <w:rsid w:val="76FD2158"/>
    <w:rsid w:val="770C0C9B"/>
    <w:rsid w:val="77804B60"/>
    <w:rsid w:val="78727392"/>
    <w:rsid w:val="78B0741B"/>
    <w:rsid w:val="78EA52F9"/>
    <w:rsid w:val="79357378"/>
    <w:rsid w:val="795C61F7"/>
    <w:rsid w:val="7AF45785"/>
    <w:rsid w:val="7B317572"/>
    <w:rsid w:val="7BA07597"/>
    <w:rsid w:val="7C653EF0"/>
    <w:rsid w:val="7DB12889"/>
    <w:rsid w:val="7DBA605C"/>
    <w:rsid w:val="7DCF42E6"/>
    <w:rsid w:val="7E6E7C8E"/>
    <w:rsid w:val="7FAF2EF9"/>
    <w:rsid w:val="7FFF0A7A"/>
    <w:rsid w:val="9B6E17B4"/>
    <w:rsid w:val="BBBFD47C"/>
    <w:rsid w:val="D67AC7C9"/>
    <w:rsid w:val="DA9EA48D"/>
    <w:rsid w:val="E2FA0D6B"/>
    <w:rsid w:val="F3E77F2D"/>
    <w:rsid w:val="F9FF73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right" w:leader="dot" w:pos="8931"/>
      </w:tabs>
    </w:pPr>
    <w:rPr>
      <w:rFonts w:eastAsia="黑体"/>
      <w:smallCaps/>
      <w:szCs w:val="28"/>
    </w:rPr>
  </w:style>
  <w:style w:type="paragraph" w:styleId="8">
    <w:name w:val="Normal Indent"/>
    <w:basedOn w:val="1"/>
    <w:qFormat/>
    <w:uiPriority w:val="0"/>
    <w:pPr>
      <w:adjustRightInd w:val="0"/>
      <w:spacing w:line="312" w:lineRule="atLeast"/>
      <w:ind w:firstLine="420"/>
      <w:textAlignment w:val="baseline"/>
    </w:pPr>
    <w:rPr>
      <w:rFonts w:ascii="宋体" w:hAnsi="Courier New"/>
      <w:kern w:val="0"/>
    </w:rPr>
  </w:style>
  <w:style w:type="paragraph" w:styleId="9">
    <w:name w:val="annotation text"/>
    <w:basedOn w:val="1"/>
    <w:link w:val="38"/>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autoSpaceDE w:val="0"/>
      <w:autoSpaceDN w:val="0"/>
      <w:adjustRightInd w:val="0"/>
      <w:ind w:firstLine="420" w:firstLineChars="100"/>
      <w:jc w:val="left"/>
    </w:pPr>
    <w:rPr>
      <w:rFonts w:ascii="仿宋_GB2312"/>
      <w:b/>
      <w:kern w:val="0"/>
      <w:sz w:val="32"/>
      <w:szCs w:val="32"/>
    </w:rPr>
  </w:style>
  <w:style w:type="paragraph" w:styleId="12">
    <w:name w:val="Body Text Indent"/>
    <w:basedOn w:val="1"/>
    <w:next w:val="1"/>
    <w:link w:val="69"/>
    <w:qFormat/>
    <w:uiPriority w:val="0"/>
    <w:pPr>
      <w:ind w:left="480" w:hanging="480" w:hangingChars="200"/>
    </w:pPr>
    <w:rPr>
      <w:sz w:val="24"/>
    </w:r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qFormat/>
    <w:uiPriority w:val="99"/>
    <w:pPr>
      <w:spacing w:after="120"/>
      <w:ind w:left="1440" w:leftChars="700" w:right="1440" w:rightChars="700"/>
    </w:pPr>
  </w:style>
  <w:style w:type="paragraph" w:styleId="15">
    <w:name w:val="Plain Text"/>
    <w:basedOn w:val="1"/>
    <w:next w:val="1"/>
    <w:link w:val="40"/>
    <w:qFormat/>
    <w:uiPriority w:val="0"/>
    <w:pPr>
      <w:widowControl/>
      <w:overflowPunct w:val="0"/>
      <w:autoSpaceDE w:val="0"/>
      <w:autoSpaceDN w:val="0"/>
      <w:adjustRightInd w:val="0"/>
      <w:jc w:val="left"/>
      <w:textAlignment w:val="baseline"/>
    </w:pPr>
    <w:rPr>
      <w:rFonts w:ascii="宋体" w:hAnsi="Courier New"/>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ody Text Indent 2"/>
    <w:basedOn w:val="1"/>
    <w:unhideWhenUsed/>
    <w:qFormat/>
    <w:uiPriority w:val="99"/>
    <w:pPr>
      <w:spacing w:after="120" w:line="480" w:lineRule="auto"/>
      <w:ind w:left="420" w:leftChars="200"/>
    </w:p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link w:val="71"/>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rPr>
      <w:rFonts w:ascii="Times New Roman" w:hAnsi="Times New Roman"/>
    </w:rPr>
  </w:style>
  <w:style w:type="paragraph" w:styleId="22">
    <w:name w:val="List"/>
    <w:basedOn w:val="1"/>
    <w:qFormat/>
    <w:uiPriority w:val="0"/>
    <w:pPr>
      <w:ind w:left="200" w:hanging="200" w:hangingChars="200"/>
    </w:pPr>
  </w:style>
  <w:style w:type="paragraph" w:styleId="23">
    <w:name w:val="footnote text"/>
    <w:basedOn w:val="1"/>
    <w:link w:val="66"/>
    <w:qFormat/>
    <w:uiPriority w:val="99"/>
    <w:pPr>
      <w:snapToGrid w:val="0"/>
      <w:jc w:val="left"/>
    </w:pPr>
    <w:rPr>
      <w:sz w:val="18"/>
    </w:rPr>
  </w:style>
  <w:style w:type="paragraph" w:styleId="24">
    <w:name w:val="toc 6"/>
    <w:basedOn w:val="1"/>
    <w:next w:val="1"/>
    <w:qFormat/>
    <w:uiPriority w:val="0"/>
    <w:pPr>
      <w:spacing w:line="360" w:lineRule="auto"/>
      <w:ind w:left="1200" w:firstLine="200" w:firstLineChars="200"/>
      <w:jc w:val="left"/>
    </w:pPr>
    <w:rPr>
      <w:rFonts w:cs="Calibri"/>
      <w:sz w:val="18"/>
      <w:szCs w:val="18"/>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annotation subject"/>
    <w:basedOn w:val="9"/>
    <w:next w:val="9"/>
    <w:link w:val="42"/>
    <w:qFormat/>
    <w:uiPriority w:val="0"/>
    <w:rPr>
      <w:b/>
      <w:bCs/>
    </w:rPr>
  </w:style>
  <w:style w:type="paragraph" w:styleId="27">
    <w:name w:val="Body Text First Indent 2"/>
    <w:basedOn w:val="12"/>
    <w:next w:val="1"/>
    <w:qFormat/>
    <w:uiPriority w:val="99"/>
    <w:pPr>
      <w:ind w:firstLine="42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rPr>
  </w:style>
  <w:style w:type="character" w:styleId="32">
    <w:name w:val="Emphasis"/>
    <w:basedOn w:val="30"/>
    <w:qFormat/>
    <w:uiPriority w:val="20"/>
    <w:rPr>
      <w:i/>
      <w:iCs/>
    </w:rPr>
  </w:style>
  <w:style w:type="character" w:styleId="33">
    <w:name w:val="Hyperlink"/>
    <w:basedOn w:val="30"/>
    <w:qFormat/>
    <w:uiPriority w:val="0"/>
  </w:style>
  <w:style w:type="character" w:styleId="34">
    <w:name w:val="annotation reference"/>
    <w:basedOn w:val="30"/>
    <w:qFormat/>
    <w:uiPriority w:val="99"/>
    <w:rPr>
      <w:sz w:val="21"/>
      <w:szCs w:val="21"/>
    </w:rPr>
  </w:style>
  <w:style w:type="character" w:styleId="35">
    <w:name w:val="footnote reference"/>
    <w:basedOn w:val="30"/>
    <w:qFormat/>
    <w:uiPriority w:val="99"/>
    <w:rPr>
      <w:rFonts w:cs="Times New Roman"/>
      <w:vertAlign w:val="superscript"/>
    </w:rPr>
  </w:style>
  <w:style w:type="paragraph" w:customStyle="1" w:styleId="36">
    <w:name w:val="[Normal]"/>
    <w:qFormat/>
    <w:uiPriority w:val="99"/>
    <w:rPr>
      <w:rFonts w:ascii="宋体" w:hAnsi="宋体" w:eastAsia="宋体" w:cs="Times New Roman"/>
      <w:sz w:val="24"/>
      <w:szCs w:val="22"/>
      <w:lang w:val="zh-CN" w:eastAsia="zh-CN" w:bidi="ar-SA"/>
    </w:rPr>
  </w:style>
  <w:style w:type="paragraph" w:customStyle="1" w:styleId="3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批注文字 字符"/>
    <w:link w:val="9"/>
    <w:qFormat/>
    <w:uiPriority w:val="0"/>
    <w:rPr>
      <w:rFonts w:ascii="Times New Roman" w:hAnsi="Times New Roman" w:eastAsia="宋体" w:cs="Times New Roman"/>
      <w:kern w:val="2"/>
      <w:sz w:val="21"/>
      <w:szCs w:val="22"/>
    </w:rPr>
  </w:style>
  <w:style w:type="character" w:customStyle="1" w:styleId="39">
    <w:name w:val="font11"/>
    <w:qFormat/>
    <w:uiPriority w:val="0"/>
    <w:rPr>
      <w:rFonts w:hint="default" w:ascii="仿宋_GB2312" w:eastAsia="仿宋_GB2312" w:cs="仿宋_GB2312"/>
      <w:color w:val="000000"/>
      <w:sz w:val="24"/>
      <w:szCs w:val="24"/>
      <w:u w:val="none"/>
    </w:rPr>
  </w:style>
  <w:style w:type="character" w:customStyle="1" w:styleId="40">
    <w:name w:val="纯文本 字符"/>
    <w:link w:val="15"/>
    <w:qFormat/>
    <w:uiPriority w:val="0"/>
    <w:rPr>
      <w:rFonts w:ascii="宋体" w:hAnsi="Courier New"/>
      <w:kern w:val="2"/>
      <w:sz w:val="24"/>
      <w:szCs w:val="22"/>
    </w:rPr>
  </w:style>
  <w:style w:type="character" w:customStyle="1" w:styleId="41">
    <w:name w:val="批注框文本 字符"/>
    <w:link w:val="18"/>
    <w:qFormat/>
    <w:uiPriority w:val="0"/>
    <w:rPr>
      <w:kern w:val="2"/>
      <w:sz w:val="18"/>
      <w:szCs w:val="18"/>
    </w:rPr>
  </w:style>
  <w:style w:type="character" w:customStyle="1" w:styleId="42">
    <w:name w:val="批注主题 字符"/>
    <w:basedOn w:val="38"/>
    <w:link w:val="26"/>
    <w:qFormat/>
    <w:uiPriority w:val="0"/>
    <w:rPr>
      <w:rFonts w:ascii="Times New Roman" w:hAnsi="Times New Roman" w:eastAsia="宋体" w:cs="Times New Roman"/>
      <w:kern w:val="2"/>
      <w:sz w:val="21"/>
      <w:szCs w:val="22"/>
    </w:rPr>
  </w:style>
  <w:style w:type="paragraph" w:customStyle="1" w:styleId="43">
    <w:name w:val="表格文字"/>
    <w:basedOn w:val="1"/>
    <w:next w:val="10"/>
    <w:qFormat/>
    <w:uiPriority w:val="0"/>
    <w:pPr>
      <w:adjustRightInd w:val="0"/>
      <w:spacing w:line="420" w:lineRule="atLeast"/>
      <w:jc w:val="left"/>
      <w:textAlignment w:val="baseline"/>
    </w:pPr>
    <w:rPr>
      <w:kern w:val="0"/>
      <w:szCs w:val="24"/>
    </w:rPr>
  </w:style>
  <w:style w:type="paragraph" w:customStyle="1" w:styleId="44">
    <w:name w:val="正文1"/>
    <w:basedOn w:val="1"/>
    <w:qFormat/>
    <w:uiPriority w:val="0"/>
    <w:rPr>
      <w:rFonts w:ascii="宋体" w:hAnsi="宋体" w:cs="宋体"/>
    </w:rPr>
  </w:style>
  <w:style w:type="paragraph" w:customStyle="1" w:styleId="45">
    <w:name w:val="正文2"/>
    <w:basedOn w:val="1"/>
    <w:qFormat/>
    <w:uiPriority w:val="0"/>
    <w:pPr>
      <w:spacing w:before="156" w:line="360" w:lineRule="auto"/>
      <w:ind w:firstLine="510" w:firstLineChars="200"/>
    </w:pPr>
    <w:rPr>
      <w:sz w:val="24"/>
      <w:szCs w:val="20"/>
    </w:rPr>
  </w:style>
  <w:style w:type="paragraph" w:customStyle="1" w:styleId="46">
    <w:name w:val="列表段落1"/>
    <w:basedOn w:val="1"/>
    <w:qFormat/>
    <w:uiPriority w:val="34"/>
    <w:pPr>
      <w:widowControl/>
      <w:ind w:firstLine="420" w:firstLineChars="200"/>
      <w:jc w:val="left"/>
    </w:pPr>
    <w:rPr>
      <w:rFonts w:eastAsia="微软雅黑"/>
      <w:szCs w:val="20"/>
    </w:rPr>
  </w:style>
  <w:style w:type="paragraph" w:customStyle="1" w:styleId="47">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8">
    <w:name w:val="样式1"/>
    <w:basedOn w:val="3"/>
    <w:qFormat/>
    <w:uiPriority w:val="0"/>
    <w:pPr>
      <w:tabs>
        <w:tab w:val="left" w:pos="425"/>
      </w:tabs>
      <w:spacing w:beforeLines="50" w:line="240" w:lineRule="auto"/>
      <w:jc w:val="center"/>
    </w:pPr>
    <w:rPr>
      <w:rFonts w:ascii="宋体" w:hAnsi="宋体"/>
      <w:sz w:val="21"/>
      <w:szCs w:val="36"/>
    </w:rPr>
  </w:style>
  <w:style w:type="paragraph" w:customStyle="1" w:styleId="49">
    <w:name w:val="正文，段落，小四，22磅行距"/>
    <w:basedOn w:val="1"/>
    <w:qFormat/>
    <w:uiPriority w:val="0"/>
    <w:pPr>
      <w:spacing w:line="440" w:lineRule="exact"/>
      <w:ind w:firstLine="420"/>
    </w:pPr>
    <w:rPr>
      <w:kern w:val="0"/>
      <w:sz w:val="24"/>
      <w:szCs w:val="24"/>
    </w:rPr>
  </w:style>
  <w:style w:type="paragraph" w:customStyle="1" w:styleId="50">
    <w:name w:val="列出段落2"/>
    <w:basedOn w:val="1"/>
    <w:qFormat/>
    <w:uiPriority w:val="34"/>
    <w:pPr>
      <w:widowControl/>
      <w:ind w:firstLine="420" w:firstLineChars="200"/>
      <w:jc w:val="left"/>
    </w:pPr>
    <w:rPr>
      <w:rFonts w:eastAsia="微软雅黑"/>
      <w:szCs w:val="20"/>
    </w:rPr>
  </w:style>
  <w:style w:type="paragraph" w:customStyle="1" w:styleId="51">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2">
    <w:name w:val="偏离表"/>
    <w:basedOn w:val="1"/>
    <w:qFormat/>
    <w:uiPriority w:val="0"/>
    <w:pPr>
      <w:jc w:val="center"/>
    </w:pPr>
    <w:rPr>
      <w:sz w:val="18"/>
    </w:rPr>
  </w:style>
  <w:style w:type="paragraph" w:customStyle="1" w:styleId="53">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5">
    <w:name w:val="默认段落字体 Para Char Char Char Char Char Char Char Char Char1 Char Char Char Char"/>
    <w:basedOn w:val="1"/>
    <w:qFormat/>
    <w:uiPriority w:val="99"/>
    <w:rPr>
      <w:rFonts w:ascii="Tahoma" w:hAnsi="Tahoma" w:cs="Tahoma"/>
      <w:sz w:val="24"/>
      <w:szCs w:val="24"/>
    </w:rPr>
  </w:style>
  <w:style w:type="paragraph" w:styleId="56">
    <w:name w:val="List Paragraph"/>
    <w:basedOn w:val="1"/>
    <w:qFormat/>
    <w:uiPriority w:val="99"/>
    <w:pPr>
      <w:ind w:firstLine="420" w:firstLineChars="200"/>
    </w:pPr>
  </w:style>
  <w:style w:type="paragraph" w:customStyle="1" w:styleId="57">
    <w:name w:val="首行缩进"/>
    <w:basedOn w:val="1"/>
    <w:qFormat/>
    <w:uiPriority w:val="0"/>
    <w:pPr>
      <w:spacing w:line="360" w:lineRule="auto"/>
      <w:ind w:firstLine="420"/>
    </w:pPr>
    <w:rPr>
      <w:rFonts w:cs="宋体"/>
      <w:szCs w:val="20"/>
    </w:rPr>
  </w:style>
  <w:style w:type="paragraph" w:customStyle="1" w:styleId="58">
    <w:name w:val="纯文本2"/>
    <w:basedOn w:val="59"/>
    <w:qFormat/>
    <w:uiPriority w:val="0"/>
    <w:pPr>
      <w:widowControl/>
      <w:jc w:val="left"/>
    </w:pPr>
    <w:rPr>
      <w:rFonts w:ascii="宋体" w:hAnsi="Courier New"/>
    </w:rPr>
  </w:style>
  <w:style w:type="paragraph" w:customStyle="1" w:styleId="59">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1">
    <w:name w:val="Plain Text1"/>
    <w:basedOn w:val="62"/>
    <w:qFormat/>
    <w:uiPriority w:val="0"/>
    <w:pPr>
      <w:adjustRightInd w:val="0"/>
    </w:pPr>
    <w:rPr>
      <w:rFonts w:hint="eastAsia" w:ascii="宋体" w:hAnsi="Courier New" w:eastAsia="楷体_GB2312"/>
      <w:sz w:val="28"/>
    </w:rPr>
  </w:style>
  <w:style w:type="paragraph" w:customStyle="1" w:styleId="62">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文字3"/>
    <w:basedOn w:val="10"/>
    <w:qFormat/>
    <w:uiPriority w:val="0"/>
    <w:pPr>
      <w:spacing w:after="0"/>
    </w:pPr>
  </w:style>
  <w:style w:type="paragraph" w:customStyle="1" w:styleId="6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5">
    <w:name w:val="正文文本 21"/>
    <w:basedOn w:val="1"/>
    <w:qFormat/>
    <w:uiPriority w:val="0"/>
    <w:pPr>
      <w:adjustRightInd w:val="0"/>
      <w:spacing w:line="300" w:lineRule="auto"/>
      <w:jc w:val="center"/>
    </w:pPr>
    <w:rPr>
      <w:rFonts w:ascii="宋体" w:hAnsi="宋体"/>
      <w:sz w:val="24"/>
    </w:rPr>
  </w:style>
  <w:style w:type="character" w:customStyle="1" w:styleId="66">
    <w:name w:val="脚注文本 字符"/>
    <w:basedOn w:val="30"/>
    <w:link w:val="23"/>
    <w:qFormat/>
    <w:uiPriority w:val="99"/>
    <w:rPr>
      <w:rFonts w:ascii="Calibri" w:hAnsi="Calibri"/>
      <w:kern w:val="2"/>
      <w:sz w:val="18"/>
      <w:szCs w:val="22"/>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正文文本缩进 字符"/>
    <w:basedOn w:val="30"/>
    <w:link w:val="12"/>
    <w:qFormat/>
    <w:uiPriority w:val="0"/>
    <w:rPr>
      <w:rFonts w:hint="default" w:ascii="Calibri" w:hAnsi="Calibri" w:cs="Calibri"/>
      <w:kern w:val="2"/>
      <w:sz w:val="21"/>
      <w:szCs w:val="22"/>
    </w:rPr>
  </w:style>
  <w:style w:type="character" w:customStyle="1" w:styleId="70">
    <w:name w:val="bookmark-item"/>
    <w:basedOn w:val="30"/>
    <w:qFormat/>
    <w:uiPriority w:val="0"/>
  </w:style>
  <w:style w:type="character" w:customStyle="1" w:styleId="71">
    <w:name w:val="页眉 字符"/>
    <w:basedOn w:val="30"/>
    <w:link w:val="20"/>
    <w:qFormat/>
    <w:uiPriority w:val="99"/>
    <w:rPr>
      <w:rFonts w:ascii="Calibri" w:hAnsi="Calibri"/>
      <w:kern w:val="2"/>
      <w:sz w:val="18"/>
      <w:szCs w:val="22"/>
    </w:rPr>
  </w:style>
  <w:style w:type="paragraph" w:customStyle="1" w:styleId="72">
    <w:name w:val="Default"/>
    <w:next w:val="7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74">
    <w:name w:val="列出段落1"/>
    <w:basedOn w:val="1"/>
    <w:qFormat/>
    <w:uiPriority w:val="34"/>
    <w:pPr>
      <w:ind w:firstLine="420" w:firstLineChars="200"/>
    </w:pPr>
    <w:rPr>
      <w:rFonts w:asciiTheme="minorHAnsi" w:hAnsiTheme="minorHAnsi" w:eastAsiaTheme="minorEastAsia" w:cstheme="minorBidi"/>
    </w:rPr>
  </w:style>
  <w:style w:type="character" w:customStyle="1" w:styleId="75">
    <w:name w:val="NormalCharacter"/>
    <w:semiHidden/>
    <w:qFormat/>
    <w:uiPriority w:val="0"/>
  </w:style>
  <w:style w:type="paragraph" w:customStyle="1" w:styleId="76">
    <w:name w:val="彩色列表 - 强调文字颜色 11"/>
    <w:basedOn w:val="1"/>
    <w:qFormat/>
    <w:uiPriority w:val="34"/>
    <w:pPr>
      <w:ind w:firstLine="420" w:firstLineChars="200"/>
    </w:pPr>
  </w:style>
  <w:style w:type="paragraph" w:customStyle="1" w:styleId="77">
    <w:name w:val="正文文字"/>
    <w:basedOn w:val="1"/>
    <w:qFormat/>
    <w:uiPriority w:val="0"/>
    <w:pPr>
      <w:widowControl/>
      <w:spacing w:line="952" w:lineRule="atLeast"/>
      <w:ind w:firstLine="419"/>
    </w:pPr>
    <w:rPr>
      <w:b/>
      <w:color w:val="000000"/>
      <w:sz w:val="44"/>
      <w:u w:color="000000"/>
    </w:rPr>
  </w:style>
  <w:style w:type="paragraph" w:customStyle="1" w:styleId="78">
    <w:name w:val="标题3级"/>
    <w:basedOn w:val="5"/>
    <w:qFormat/>
    <w:uiPriority w:val="0"/>
    <w:pPr>
      <w:spacing w:before="0" w:after="0" w:line="360" w:lineRule="auto"/>
    </w:pPr>
    <w:rPr>
      <w:sz w:val="28"/>
      <w:szCs w:val="28"/>
    </w:rPr>
  </w:style>
  <w:style w:type="paragraph" w:customStyle="1" w:styleId="79">
    <w:name w:val="正文文本缩进 21"/>
    <w:basedOn w:val="1"/>
    <w:qFormat/>
    <w:uiPriority w:val="0"/>
    <w:pPr>
      <w:spacing w:line="360" w:lineRule="exact"/>
      <w:ind w:firstLine="469"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F3118-558E-49CA-BB13-9B2A28BB869B}">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62</Pages>
  <Words>38102</Words>
  <Characters>40930</Characters>
  <Lines>333</Lines>
  <Paragraphs>93</Paragraphs>
  <TotalTime>0</TotalTime>
  <ScaleCrop>false</ScaleCrop>
  <LinksUpToDate>false</LinksUpToDate>
  <CharactersWithSpaces>43696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2022-06-22T16:02:00Z</dcterms:created>
  <dc:creator>Administrator</dc:creator>
  <cp:lastModifiedBy></cp:lastModifiedBy>
  <cp:lastPrinted>2020-04-04T01:44:00Z</cp:lastPrinted>
  <dcterms:modified xsi:type="dcterms:W3CDTF">2022-07-06T09:21:33Z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53FA70F0A1D84CF4A57F91DFB5DD5A30</vt:lpwstr>
  </property>
</Properties>
</file>