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984"/>
        <w:gridCol w:w="2084"/>
        <w:gridCol w:w="1332"/>
        <w:gridCol w:w="5042"/>
        <w:gridCol w:w="1121"/>
        <w:gridCol w:w="1323"/>
        <w:gridCol w:w="197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70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1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677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   格</w:t>
            </w:r>
          </w:p>
        </w:tc>
        <w:tc>
          <w:tcPr>
            <w:tcW w:w="342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411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63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单价（万元）</w:t>
            </w:r>
          </w:p>
        </w:tc>
        <w:tc>
          <w:tcPr>
            <w:tcW w:w="55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70" w:type="pct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序厅LED播放屏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(艾比森、雷曼、三思)</w:t>
            </w:r>
          </w:p>
        </w:tc>
        <w:tc>
          <w:tcPr>
            <w:tcW w:w="41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硬件设备</w:t>
            </w:r>
          </w:p>
        </w:tc>
        <w:tc>
          <w:tcPr>
            <w:tcW w:w="1677" w:type="pct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项目LED显示屏制造厂商必须是LED显示屏研发、生产制造一体化厂商，不接受委托贴牌OEM等厂家设备，（经营范围包含LED显示屏生产）；保证LED显示屏制造厂商专业性与实施规范性，应具有具有安全生产许可证（提供制造商证书复印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1.★点间距 ≤1.84mm，像素点密度≥298000点/㎡；（非1.86参数应标，中标后提供样品送检）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2.屏幕净尺寸整屏宽度≥3.2米，整屏高度≥2.08米，屏幕分辨率不小于1740列×1131行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3.★箱体结构：压铸铝箱体，箱体组合，模组、电源、接收卡支持前维护，单元箱体重量≤6Kg；箱体厚度不超过65mm；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4.显示屏校正后亮度或白平衡亮度≥800nit（0-255无级可调）；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5.显示屏亮度均匀性≥98%,色准△E≤0.9，色域≥120%NTSC；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6.采用精细化灰度提升技术，支持低亮高灰，100%亮度时，16bit；20%亮度时，14bit；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7.★支持120HZ高帧率模式；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8.★刷新率不低于3840Hz；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9．电源采用带PFC功能，功率因数≥0.98，转换效率达到86%及以上。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10．产品峰值功耗：≤600W/㎡，平均功耗：≤200W/㎡，单元板功率≤17.5W；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11.能源效率值≥3cd/W，睡眠模式下功率密度≤125W/㎡；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12.箱体支持1+1电源、接收卡冗余热备份功能，保证任一链路断开或硬件故障都不影响显示；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13.带配套安装钢结构。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14★所投显示屏制造商通过IECQ QC080000有害物质过程管理体系认证，同时所投产品获得中国节能、环保、CCC认证证书；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15.LED显示屏制造商在产品质量、经营管理、节能降耗、环境监测等方面的测量管理体系符合GB/T19022-2003/ISO 10012:2003《测量管理体系-测量过程和测量设备的要求》标准的全部要求。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16.★LED显示屏制造商具有AEO高级认证证书（产品海关免检产品）；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17.LED显示屏制造商具有供应链安全管理体系评价五星级认证证书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18.★LED显示屏产品具有保险，如火灾，地震等（每次事故赔偿限额大于此项目拦标价），公众责任险、财产一切险、雇主责任险，提供所投保单复印件，并提供显示屏制造商证明文件）；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19.为保证产品的真实性3-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8项目需提供具有ilac-MRA、CNAS、CMA标志的权威认证检测报告或证书复印件。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20.★本项目为保证LED制造商原厂家施工，LED制造商需提供钢结构三级以上资质。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21.★LED制造厂商具备音视频集成二级以上资质。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22.技术要求中标“★”或“▲”的条款属于不可偏离项，必须完全满足要求参数，需提供封面盖有ilac-MRA、CNAS、CMA标志的检测报告佐证及要复印件佐证。</w:t>
            </w:r>
          </w:p>
        </w:tc>
        <w:tc>
          <w:tcPr>
            <w:tcW w:w="342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1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6.944</w:t>
            </w:r>
          </w:p>
        </w:tc>
        <w:tc>
          <w:tcPr>
            <w:tcW w:w="63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1.50 </w:t>
            </w:r>
          </w:p>
        </w:tc>
        <w:tc>
          <w:tcPr>
            <w:tcW w:w="55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10.42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控制系统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(艾比森、雷曼、三思)</w:t>
            </w:r>
          </w:p>
        </w:tc>
        <w:tc>
          <w:tcPr>
            <w:tcW w:w="41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硬件设备</w:t>
            </w:r>
          </w:p>
        </w:tc>
        <w:tc>
          <w:tcPr>
            <w:tcW w:w="1677" w:type="pct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发送卡、接收卡，与序厅播放屏相关联、配套使用。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发送卡：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视频源接口：接口类型1×HDMI、1×DVI、1×HDMI LOOP、1×DVI LOOP；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输入分辨率最大支持1920×1200像素，支持此分辨率内的任意输入分辨率；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视频源帧率标准60Hz，并可以自动适应帧率；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接收视频区域可以任意设定接收视频源的位置；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千兆网口6路千兆网口：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网口控制面积单发送最大带载面积230万像素，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最宽支持4096点，或最高支持2560点；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传输距离超五类网线≤140M；六类网线≤170M；光纤线无限制；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网口拼接六个网口可以做上下或者左右的任意拼接，以像素为单位；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数据传输格式按照千兆网络的帧格式，并附加CRC校验；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接口数量3个光纤接口：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传输距离无限制；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光纤接口双LC接口；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连接设备 支持接收卡；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支持外围设备多功能卡，光纤收发器，千兆交换机；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规格参数：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板卡尺寸1U标准机箱；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输入电压AC100~240V，50/60Hz；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额定功耗大于等于20W 重量大于等于2KG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配置参数接口USB 2.0×1，百兆控制网口×1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输入信息显示显示帧率、消隐及点时钟信息，用于诊断显卡和视频处理器的状态；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按钮调节亮度按钮调节亮度，并且是实时起作用，并自动保存于发送卡；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实时调整参数Gamma值，控制区域，控制参数，所见即所得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亮度色温调整 支持智能侦测系统支持DVI视频接口信息检测，发送卡温度监测；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辅助功能：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多卡级联支持，采用双USB接口实现多卡级联，支持同步参数设定，回读等多屏设置支持同时控制不同规格的多个显示屏后台播放支持（扩展模式）；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定制接收卡；</w:t>
            </w:r>
          </w:p>
        </w:tc>
        <w:tc>
          <w:tcPr>
            <w:tcW w:w="342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411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0.60 </w:t>
            </w:r>
          </w:p>
        </w:tc>
        <w:tc>
          <w:tcPr>
            <w:tcW w:w="55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70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智能配电柜</w:t>
            </w:r>
          </w:p>
        </w:tc>
        <w:tc>
          <w:tcPr>
            <w:tcW w:w="41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硬件设备</w:t>
            </w:r>
          </w:p>
        </w:tc>
        <w:tc>
          <w:tcPr>
            <w:tcW w:w="1677" w:type="pct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智能LED电柜大于等于10KW，PLC控制；与室内LED屏幕相关联、配套使用。</w:t>
            </w:r>
          </w:p>
        </w:tc>
        <w:tc>
          <w:tcPr>
            <w:tcW w:w="342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411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</w:t>
            </w:r>
          </w:p>
        </w:tc>
        <w:tc>
          <w:tcPr>
            <w:tcW w:w="55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70" w:type="pct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党员之家LED播放屏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(艾比森、雷曼、三思)</w:t>
            </w:r>
          </w:p>
        </w:tc>
        <w:tc>
          <w:tcPr>
            <w:tcW w:w="41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硬件设备</w:t>
            </w:r>
          </w:p>
        </w:tc>
        <w:tc>
          <w:tcPr>
            <w:tcW w:w="1677" w:type="pct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FE03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项目LED显示屏制造厂商必须是LED显示屏研发、生产制造一体化厂商，不接受委托贴牌OEM等厂家设备，（经营范围包含LED显示屏生产）；保证LED显示屏制造厂商专业性与实施规范性，应具有具有安全生产许可证（提供制造商证书复印件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1.★点间距 ≤1.84mm，像素点密度≥298000点/㎡；（非1.86参数应标，中标后提供样品送检）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2.屏幕净尺寸整屏宽度≥3.2米，整屏高度≥1.92米，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屏幕分辨率不小于1740列×1131行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★箱体结构：压铸铝箱体，箱体组合，模组、电源、接收卡支持前维护，单元箱体重量≤6Kg；箱体厚度不超过65mm；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4.显示屏校正后亮度或白平衡亮度≥800nit（0-255无级可调）；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5.显示屏亮度均匀性≥98%,色准△E≤0.9，色域≥120%NTSC；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6.采用精细化灰度提升技术，支持低亮高灰，100%亮度时，16bit；20%亮度时，14bit；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7.★支持120HZ高帧率模式；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8.★刷新率不低于3840Hz；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9．电源采用带PFC功能，功率因数≥0.98，转换效率达到86%及以上。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10．产品峰值功耗：≤600W/㎡，平均功耗：≤200W/㎡，单元板功率≤17.5W；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11.能源效率值≥3cd/W，睡眠模式下功率密度≤125W/㎡；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12.箱体支持1+1电源、接收卡冗余热备份功能，保证任一链路断开或硬件故障都不影响显示；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13.带配套安装钢结构。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14★所投显示屏制造商通过IECQ QC080000有害物质过程管理体系认证，同时所投产品获得中国节能、环保、CCC认证证书；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15.LED显示屏制造商在产品质量、经营管理、节能降耗、环境监测等方面的测量管理体系符合GB/T19022-2003/ISO 10012:2003《测量管理体系-测量过程和测量设备的要求》标准的全部要求。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16.★LED显示屏制造商具有AEO高级认证证书（产品海关免检产品）；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17.LED显示屏制造商具有供应链安全管理体系评价五星级认证证书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18.★LED显示屏产品具有保险，如火灾，地震等（每次事故赔偿限额大于此项目拦标价），公众责任险、财产一切险、雇主责任险，提供所投保单复印件，并提供显示屏制造商证明文件）；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19.为保证产品的真实性3-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8项目需提供具有ilac-MRA、CNAS、CMA标志的权威认证检测报告或证书复印件。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20.★本项目为保证LED制造商原厂家施工，LED制造商需提供钢结构三级以上资质。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21.★LED制造厂商具备音视频集成二级以上资质。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22.技术要求中标“★”或“▲”的条款属于不可偏离项，必须完全满足要求参数，需提供封面盖有ilac-MRA、CNAS、CMA标志的检测报告佐证及要复印件佐证。</w:t>
            </w:r>
          </w:p>
        </w:tc>
        <w:tc>
          <w:tcPr>
            <w:tcW w:w="342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411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6.432</w:t>
            </w:r>
          </w:p>
        </w:tc>
        <w:tc>
          <w:tcPr>
            <w:tcW w:w="63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1.50 </w:t>
            </w:r>
          </w:p>
        </w:tc>
        <w:tc>
          <w:tcPr>
            <w:tcW w:w="55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9.65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70" w:type="pct"/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控制系统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(艾比森、雷曼、三思)</w:t>
            </w:r>
          </w:p>
        </w:tc>
        <w:tc>
          <w:tcPr>
            <w:tcW w:w="41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硬件设备</w:t>
            </w:r>
          </w:p>
        </w:tc>
        <w:tc>
          <w:tcPr>
            <w:tcW w:w="1677" w:type="pct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发送卡、接收卡，与序厅播放屏相关联、配套使用。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发送卡：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视频源接口：接口类型1×HDMI、1×DVI、1×HDMI LOOP、1×DVI LOOP；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输入分辨率最大支持1920×1200像素，支持此分辨率内的任意输入分辨率；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视频源帧率标准60Hz，并可以自动适应帧率；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接收视频区域可以任意设定接收视频源的位置；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千兆网口6路千兆网口：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网口控制面积单发送最大带载面积230万像素，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最宽支持4096点，或最高支持2560点；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传输距离超五类网线≤140M；六类网线≤170M；光纤线无限制；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网口拼接六个网口可以做上下或者左右的任意拼接，以像素为单位；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数据传输格式按照千兆网络的帧格式，并附加CRC校验；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接口数量3个光纤接口：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传输距离无限制；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光纤接口双LC接口；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连接设备 支持接收卡；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支持外围设备多功能卡，光纤收发器，千兆交换机；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规格参数：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板卡尺寸1U标准机箱；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输入电压AC100~240V，50/60Hz；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额定功耗大于等于20W 重量大于等于2KG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配置参数接口USB 2.0×1，百兆控制网口×1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输入信息显示显示帧率、消隐及点时钟信息，用于诊断显卡和视频处理器的状态；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按钮调节亮度按钮调节亮度，并且是实时起作用，并自动保存于发送卡；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实时调整参数Gamma值，控制区域，控制参数，所见即所得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亮度色温调整 支持智能侦测系统支持DVI视频接口信息检测，发送卡温度监测；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辅助功能：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多卡级联支持，采用双USB接口实现多卡级联，支持同步参数设定，回读等多屏设置支持同时控制不同规格的多个显示屏后台播放支持（扩展模式）；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定制接收卡；</w:t>
            </w:r>
          </w:p>
        </w:tc>
        <w:tc>
          <w:tcPr>
            <w:tcW w:w="342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411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0.60 </w:t>
            </w:r>
          </w:p>
        </w:tc>
        <w:tc>
          <w:tcPr>
            <w:tcW w:w="55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c>
          <w:tcPr>
            <w:tcW w:w="29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70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智能配电柜</w:t>
            </w:r>
          </w:p>
        </w:tc>
        <w:tc>
          <w:tcPr>
            <w:tcW w:w="41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硬件设备</w:t>
            </w:r>
          </w:p>
        </w:tc>
        <w:tc>
          <w:tcPr>
            <w:tcW w:w="1677" w:type="pct"/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智能LED电柜大于等于10KW，PLC控制；与室内LED屏幕相关联、配套使用。</w:t>
            </w:r>
          </w:p>
        </w:tc>
        <w:tc>
          <w:tcPr>
            <w:tcW w:w="342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411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4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0.50 </w:t>
            </w:r>
          </w:p>
        </w:tc>
        <w:tc>
          <w:tcPr>
            <w:tcW w:w="556" w:type="pct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0.50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c>
          <w:tcPr>
            <w:tcW w:w="3057" w:type="pct"/>
            <w:gridSpan w:val="4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合计：（万元）</w:t>
            </w:r>
          </w:p>
        </w:tc>
        <w:tc>
          <w:tcPr>
            <w:tcW w:w="1943" w:type="pct"/>
            <w:gridSpan w:val="4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22.26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售后服务及商务条款: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1.▲报价的商品品牌要求只在推荐品牌范围内选择，本次询价不接收推荐品牌范围外的品牌型号。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▲各项功能参数及佐证文件必须逐条对应确认，并确保参数满足要求。所有要求的检测报告及证书必须加盖供应商红印公章作为附件上传，上传及未加盖红印公章的，视为恶意投标，询价方有权按不诚信单位上报政采云及采购监管部门，同时保留对该厂商追究相关责任权利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▲售后服务：投标供应商具有售后服务认证证书，7X24小时服务；供应商必须在温州市内有固定的售后服务网点及分公司（以营业执照为准），设备出现故障时接到报修电话，30分钟内响应，2小时到达4小时解决，不能在规定时间内解决故障的，24小时内提供应急解决方案或提供备用设备，不影响整体教学；质保期满后，乙方以优惠于市场价格给予甲方设备产品维护保养及零配件更换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.▲所有产品都必须原厂原包装产品并且是正规渠道货，验收之日起免费质保期5年，需提供厂家该有公章的原厂质保函。（必须备注原厂官方核验渠道备查，并作为附件上传）。免费质保期结束后，后续的维护费不超过设备价的5%。验收不符合采购人要求的产品，磋商供应商负责更换产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5.送货上门并负责安装，完成设备的运输、安装、调试及场地内部装修改造，由采购人组织进行验收。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磋商供应商应根据项目实施的计划、进度和需要，及时对采购人操作人员进行培训，使其基本掌握应用系统的目标和功能，能够独立完成其操作对象。磋商供应商应无条件对采购人操作人员提供培训，学会为止，培训费用包含在报价中，采购人无需另行自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7. 卖方完成全部供货及安装、调试、培训等服务，通过买方验收后，并开具合同金额100%的增值税专用发票，买方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入库报销后15个工作日内，买方向卖方支付100%合同价款。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41668"/>
    <w:multiLevelType w:val="singleLevel"/>
    <w:tmpl w:val="8C94166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YTZmYWJjOTA5NTI2M2EyOWZmZmE0YWEyZDE3YzUifQ=="/>
  </w:docVars>
  <w:rsids>
    <w:rsidRoot w:val="0063595F"/>
    <w:rsid w:val="002764B9"/>
    <w:rsid w:val="003F3659"/>
    <w:rsid w:val="005C33D1"/>
    <w:rsid w:val="0062633B"/>
    <w:rsid w:val="0063595F"/>
    <w:rsid w:val="007D233E"/>
    <w:rsid w:val="009B2B6A"/>
    <w:rsid w:val="00AE01AF"/>
    <w:rsid w:val="09B94E4B"/>
    <w:rsid w:val="0E286981"/>
    <w:rsid w:val="22D94DC0"/>
    <w:rsid w:val="49D2721F"/>
    <w:rsid w:val="588470E2"/>
    <w:rsid w:val="6CC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3883</Words>
  <Characters>4631</Characters>
  <Lines>33</Lines>
  <Paragraphs>9</Paragraphs>
  <TotalTime>1</TotalTime>
  <ScaleCrop>false</ScaleCrop>
  <LinksUpToDate>false</LinksUpToDate>
  <CharactersWithSpaces>4664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2022-08-31T07:34:00Z</dcterms:created>
  <dc:creator>邱 忠平</dc:creator>
  <cp:lastModifiedBy>Tom</cp:lastModifiedBy>
  <dcterms:modified xsi:type="dcterms:W3CDTF">2022-09-15T06:45:30Z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A7F02126776D40ECA74B4D9107B0AEA0</vt:lpwstr>
  </property>
</Properties>
</file>